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F2C0" w14:textId="5B0DE9D1" w:rsidR="000C3C28" w:rsidRPr="00FD32EC" w:rsidRDefault="00724B07" w:rsidP="0054763C">
      <w:pPr>
        <w:spacing w:after="120"/>
        <w:ind w:right="975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ab/>
      </w:r>
    </w:p>
    <w:p w14:paraId="5D2E36C5" w14:textId="0C74AD31" w:rsidR="00393850" w:rsidRPr="00FD32EC" w:rsidRDefault="000C3C28" w:rsidP="0054763C">
      <w:pPr>
        <w:spacing w:after="120"/>
        <w:ind w:right="975"/>
        <w:jc w:val="both"/>
        <w:rPr>
          <w:rFonts w:eastAsia="Times New Roman"/>
          <w:bCs/>
          <w:lang w:eastAsia="sr-Latn-RS"/>
        </w:rPr>
      </w:pPr>
      <w:r w:rsidRPr="00FD32EC">
        <w:rPr>
          <w:rFonts w:eastAsia="Times New Roman"/>
          <w:bCs/>
          <w:lang w:val="sr-Cyrl-RS" w:eastAsia="sr-Latn-RS"/>
        </w:rPr>
        <w:t>ПРЕАМБУЛА</w:t>
      </w:r>
      <w:r w:rsidR="00393850" w:rsidRPr="00FD32EC">
        <w:rPr>
          <w:rFonts w:eastAsia="Times New Roman"/>
          <w:bCs/>
          <w:lang w:eastAsia="sr-Latn-RS"/>
        </w:rPr>
        <w:t xml:space="preserve"> </w:t>
      </w:r>
    </w:p>
    <w:p w14:paraId="50F8093E" w14:textId="77777777" w:rsidR="00393850" w:rsidRPr="00FD32EC" w:rsidRDefault="00393850" w:rsidP="0054763C">
      <w:pPr>
        <w:spacing w:after="120"/>
        <w:ind w:right="975"/>
        <w:rPr>
          <w:rFonts w:eastAsia="Times New Roman"/>
          <w:b/>
          <w:bCs/>
          <w:lang w:eastAsia="sr-Latn-RS"/>
        </w:rPr>
      </w:pPr>
    </w:p>
    <w:p w14:paraId="56877C05" w14:textId="77777777" w:rsidR="001349B9" w:rsidRPr="00FD32EC" w:rsidRDefault="001950FE" w:rsidP="0054763C">
      <w:pPr>
        <w:spacing w:after="120"/>
        <w:jc w:val="center"/>
        <w:rPr>
          <w:rFonts w:eastAsia="Times New Roman"/>
          <w:b/>
          <w:bCs/>
          <w:lang w:val="sr-Cyrl-RS" w:eastAsia="sr-Latn-RS"/>
        </w:rPr>
      </w:pPr>
      <w:r w:rsidRPr="00FD32EC">
        <w:rPr>
          <w:rFonts w:eastAsia="Times New Roman"/>
          <w:b/>
          <w:bCs/>
          <w:lang w:eastAsia="sr-Latn-RS"/>
        </w:rPr>
        <w:t>ПРАВИЛНИК</w:t>
      </w:r>
    </w:p>
    <w:p w14:paraId="6ECFEEAA" w14:textId="4217C632" w:rsidR="00B5135B" w:rsidRPr="00FD32EC" w:rsidRDefault="005655B2" w:rsidP="0054763C">
      <w:pPr>
        <w:spacing w:after="120"/>
        <w:jc w:val="center"/>
        <w:rPr>
          <w:rFonts w:eastAsia="Times New Roman"/>
          <w:b/>
          <w:bCs/>
          <w:lang w:val="sr-Cyrl-RS" w:eastAsia="sr-Latn-RS"/>
        </w:rPr>
      </w:pPr>
      <w:r w:rsidRPr="00FD32EC">
        <w:rPr>
          <w:rFonts w:eastAsia="Times New Roman"/>
          <w:b/>
          <w:bCs/>
          <w:lang w:val="sr-Cyrl-RS" w:eastAsia="sr-Latn-RS"/>
        </w:rPr>
        <w:t>О НАЧИНУ КОНТРОЛЕ САДРЖАЈА РАДИОНУКЛИДА У ПРОИЗВОДИМА И РОБИ НАМЕЊЕНИМ СТАНОВНИШТВУ, ЖИВОТИЊАМА И ПРОИЗВОДИМА И ДРУГОЈ РОБИ НАМЕЊЕНИМ ЗА УПОТРЕБУ У РАДНОЈ И ЖИВОТНОЈ СРЕДИНИ</w:t>
      </w:r>
    </w:p>
    <w:p w14:paraId="3A03F4E8" w14:textId="5AA59076" w:rsidR="001F04D7" w:rsidRPr="00FD32EC" w:rsidRDefault="001F04D7" w:rsidP="0054763C">
      <w:pPr>
        <w:spacing w:after="120"/>
        <w:jc w:val="center"/>
        <w:rPr>
          <w:rFonts w:eastAsia="Times New Roman"/>
          <w:b/>
          <w:bCs/>
          <w:lang w:eastAsia="sr-Latn-RS"/>
        </w:rPr>
      </w:pPr>
    </w:p>
    <w:p w14:paraId="44D73994" w14:textId="77777777" w:rsidR="001F04D7" w:rsidRPr="00FD32EC" w:rsidRDefault="001F04D7" w:rsidP="0054763C">
      <w:pPr>
        <w:spacing w:after="120"/>
        <w:jc w:val="center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Предмет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уређивања</w:t>
      </w:r>
      <w:proofErr w:type="spellEnd"/>
    </w:p>
    <w:p w14:paraId="0FC8BFAE" w14:textId="70A58B23" w:rsidR="002A33E2" w:rsidRPr="00FD32EC" w:rsidRDefault="002A33E2" w:rsidP="0054763C">
      <w:pPr>
        <w:spacing w:after="120"/>
        <w:jc w:val="center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1</w:t>
      </w:r>
      <w:r w:rsidR="00AA2C5C" w:rsidRPr="00FD32EC">
        <w:rPr>
          <w:rFonts w:eastAsia="Times New Roman"/>
          <w:lang w:val="sr-Cyrl-RS" w:eastAsia="sr-Latn-RS"/>
        </w:rPr>
        <w:t>.</w:t>
      </w:r>
    </w:p>
    <w:p w14:paraId="236E32AE" w14:textId="6BCF1E02" w:rsidR="00803628" w:rsidRPr="00FD32EC" w:rsidRDefault="002A33E2" w:rsidP="0054763C">
      <w:pPr>
        <w:spacing w:after="120"/>
        <w:jc w:val="both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Овим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правилником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прописуј</w:t>
      </w:r>
      <w:proofErr w:type="spellEnd"/>
      <w:r w:rsidR="00F66613" w:rsidRPr="00FD32EC">
        <w:rPr>
          <w:rFonts w:eastAsia="Times New Roman"/>
          <w:lang w:val="sr-Cyrl-RS" w:eastAsia="sr-Latn-RS"/>
        </w:rPr>
        <w:t>е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начин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контроле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садржаја</w:t>
      </w:r>
      <w:proofErr w:type="spellEnd"/>
      <w:r w:rsidR="00F66613" w:rsidRPr="00FD32EC">
        <w:rPr>
          <w:rFonts w:eastAsia="Times New Roman"/>
          <w:lang w:eastAsia="sr-Latn-RS"/>
        </w:rPr>
        <w:t xml:space="preserve"> радионуклида у </w:t>
      </w:r>
      <w:proofErr w:type="spellStart"/>
      <w:r w:rsidR="00F66613" w:rsidRPr="00FD32EC">
        <w:rPr>
          <w:rFonts w:eastAsia="Times New Roman"/>
          <w:lang w:eastAsia="sr-Latn-RS"/>
        </w:rPr>
        <w:t>производима</w:t>
      </w:r>
      <w:proofErr w:type="spellEnd"/>
      <w:r w:rsidR="00F66613" w:rsidRPr="00FD32EC">
        <w:rPr>
          <w:rFonts w:eastAsia="Times New Roman"/>
          <w:lang w:eastAsia="sr-Latn-RS"/>
        </w:rPr>
        <w:t xml:space="preserve"> и </w:t>
      </w:r>
      <w:proofErr w:type="spellStart"/>
      <w:r w:rsidR="00F66613" w:rsidRPr="00FD32EC">
        <w:rPr>
          <w:rFonts w:eastAsia="Times New Roman"/>
          <w:lang w:eastAsia="sr-Latn-RS"/>
        </w:rPr>
        <w:t>роби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намењеним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становништву</w:t>
      </w:r>
      <w:proofErr w:type="spellEnd"/>
      <w:r w:rsidR="00F66613" w:rsidRPr="00FD32EC">
        <w:rPr>
          <w:rFonts w:eastAsia="Times New Roman"/>
          <w:lang w:eastAsia="sr-Latn-RS"/>
        </w:rPr>
        <w:t xml:space="preserve">, </w:t>
      </w:r>
      <w:proofErr w:type="spellStart"/>
      <w:r w:rsidR="00F66613" w:rsidRPr="00FD32EC">
        <w:rPr>
          <w:rFonts w:eastAsia="Times New Roman"/>
          <w:lang w:eastAsia="sr-Latn-RS"/>
        </w:rPr>
        <w:t>животињама</w:t>
      </w:r>
      <w:proofErr w:type="spellEnd"/>
      <w:r w:rsidR="00F66613" w:rsidRPr="00FD32EC">
        <w:rPr>
          <w:rFonts w:eastAsia="Times New Roman"/>
          <w:lang w:eastAsia="sr-Latn-RS"/>
        </w:rPr>
        <w:t xml:space="preserve"> и </w:t>
      </w:r>
      <w:proofErr w:type="spellStart"/>
      <w:r w:rsidR="00F66613" w:rsidRPr="00FD32EC">
        <w:rPr>
          <w:rFonts w:eastAsia="Times New Roman"/>
          <w:lang w:eastAsia="sr-Latn-RS"/>
        </w:rPr>
        <w:t>производима</w:t>
      </w:r>
      <w:proofErr w:type="spellEnd"/>
      <w:r w:rsidR="00F66613" w:rsidRPr="00FD32EC">
        <w:rPr>
          <w:rFonts w:eastAsia="Times New Roman"/>
          <w:lang w:eastAsia="sr-Latn-RS"/>
        </w:rPr>
        <w:t xml:space="preserve"> и </w:t>
      </w:r>
      <w:proofErr w:type="spellStart"/>
      <w:r w:rsidR="00F66613" w:rsidRPr="00FD32EC">
        <w:rPr>
          <w:rFonts w:eastAsia="Times New Roman"/>
          <w:lang w:eastAsia="sr-Latn-RS"/>
        </w:rPr>
        <w:t>другој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роби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намењеним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за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употребу</w:t>
      </w:r>
      <w:proofErr w:type="spellEnd"/>
      <w:r w:rsidR="00F66613" w:rsidRPr="00FD32EC">
        <w:rPr>
          <w:rFonts w:eastAsia="Times New Roman"/>
          <w:lang w:eastAsia="sr-Latn-RS"/>
        </w:rPr>
        <w:t xml:space="preserve"> у </w:t>
      </w:r>
      <w:proofErr w:type="spellStart"/>
      <w:r w:rsidR="00F66613" w:rsidRPr="00FD32EC">
        <w:rPr>
          <w:rFonts w:eastAsia="Times New Roman"/>
          <w:lang w:eastAsia="sr-Latn-RS"/>
        </w:rPr>
        <w:t>радној</w:t>
      </w:r>
      <w:proofErr w:type="spellEnd"/>
      <w:r w:rsidR="00F66613" w:rsidRPr="00FD32EC">
        <w:rPr>
          <w:rFonts w:eastAsia="Times New Roman"/>
          <w:lang w:eastAsia="sr-Latn-RS"/>
        </w:rPr>
        <w:t xml:space="preserve"> и </w:t>
      </w:r>
      <w:proofErr w:type="spellStart"/>
      <w:r w:rsidR="00F66613" w:rsidRPr="00FD32EC">
        <w:rPr>
          <w:rFonts w:eastAsia="Times New Roman"/>
          <w:lang w:eastAsia="sr-Latn-RS"/>
        </w:rPr>
        <w:t>животној</w:t>
      </w:r>
      <w:proofErr w:type="spellEnd"/>
      <w:r w:rsidR="00F66613" w:rsidRPr="00FD32EC">
        <w:rPr>
          <w:rFonts w:eastAsia="Times New Roman"/>
          <w:lang w:eastAsia="sr-Latn-RS"/>
        </w:rPr>
        <w:t xml:space="preserve"> </w:t>
      </w:r>
      <w:proofErr w:type="spellStart"/>
      <w:r w:rsidR="00F66613" w:rsidRPr="00FD32EC">
        <w:rPr>
          <w:rFonts w:eastAsia="Times New Roman"/>
          <w:lang w:eastAsia="sr-Latn-RS"/>
        </w:rPr>
        <w:t>средини</w:t>
      </w:r>
      <w:proofErr w:type="spellEnd"/>
      <w:r w:rsidR="00E17E9F" w:rsidRPr="00FD32EC">
        <w:rPr>
          <w:rFonts w:eastAsia="Times New Roman"/>
          <w:lang w:val="sr-Cyrl-RS" w:eastAsia="sr-Latn-RS"/>
        </w:rPr>
        <w:t>, укључујући воду за пиће, храну и храну за животиње</w:t>
      </w:r>
      <w:r w:rsidR="001D442B" w:rsidRPr="00FD32EC">
        <w:rPr>
          <w:rFonts w:eastAsia="Times New Roman"/>
          <w:lang w:val="sr-Cyrl-RS" w:eastAsia="sr-Latn-RS"/>
        </w:rPr>
        <w:t xml:space="preserve">. </w:t>
      </w:r>
    </w:p>
    <w:p w14:paraId="14B0AA74" w14:textId="33112EF8" w:rsidR="00EC670B" w:rsidRPr="00FD32EC" w:rsidRDefault="003640A7" w:rsidP="007F1D6E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val="sr-Cyrl-RS" w:eastAsia="sr-Latn-RS"/>
        </w:rPr>
        <w:t>К</w:t>
      </w:r>
      <w:r w:rsidR="00C31BA3" w:rsidRPr="00FD32EC">
        <w:rPr>
          <w:rFonts w:eastAsia="Times New Roman"/>
          <w:lang w:val="sr-Cyrl-RS" w:eastAsia="sr-Latn-RS"/>
        </w:rPr>
        <w:t>онтро</w:t>
      </w:r>
      <w:r w:rsidR="00333494" w:rsidRPr="00FD32EC">
        <w:rPr>
          <w:rFonts w:eastAsia="Times New Roman"/>
          <w:lang w:val="sr-Cyrl-RS" w:eastAsia="sr-Latn-RS"/>
        </w:rPr>
        <w:t>л</w:t>
      </w:r>
      <w:r w:rsidRPr="00FD32EC">
        <w:rPr>
          <w:rFonts w:eastAsia="Times New Roman"/>
          <w:lang w:val="sr-Cyrl-RS" w:eastAsia="sr-Latn-RS"/>
        </w:rPr>
        <w:t>а</w:t>
      </w:r>
      <w:r w:rsidR="00C31BA3" w:rsidRPr="00FD32EC">
        <w:rPr>
          <w:rFonts w:eastAsia="Times New Roman"/>
          <w:lang w:val="sr-Cyrl-RS" w:eastAsia="sr-Latn-RS"/>
        </w:rPr>
        <w:t xml:space="preserve"> из става 1. овог члана успоставља се</w:t>
      </w:r>
      <w:r w:rsidR="007F1D6E" w:rsidRPr="00FD32EC">
        <w:rPr>
          <w:rFonts w:eastAsia="Times New Roman"/>
          <w:lang w:val="sr-Cyrl-RS" w:eastAsia="sr-Latn-RS"/>
        </w:rPr>
        <w:t xml:space="preserve"> о</w:t>
      </w:r>
      <w:r w:rsidR="00C31BA3" w:rsidRPr="00FD32EC">
        <w:rPr>
          <w:rFonts w:eastAsia="Times New Roman"/>
          <w:lang w:val="sr-Cyrl-RS" w:eastAsia="sr-Latn-RS"/>
        </w:rPr>
        <w:t xml:space="preserve">дређивањем садржаја радионуклида у </w:t>
      </w:r>
      <w:proofErr w:type="spellStart"/>
      <w:r w:rsidR="00C31BA3" w:rsidRPr="00FD32EC">
        <w:rPr>
          <w:rFonts w:eastAsia="Times New Roman"/>
          <w:lang w:eastAsia="sr-Latn-RS"/>
        </w:rPr>
        <w:t>производима</w:t>
      </w:r>
      <w:proofErr w:type="spellEnd"/>
      <w:r w:rsidR="00C31BA3" w:rsidRPr="00FD32EC">
        <w:rPr>
          <w:rFonts w:eastAsia="Times New Roman"/>
          <w:lang w:eastAsia="sr-Latn-RS"/>
        </w:rPr>
        <w:t xml:space="preserve"> и </w:t>
      </w:r>
      <w:proofErr w:type="spellStart"/>
      <w:r w:rsidR="00C31BA3" w:rsidRPr="00FD32EC">
        <w:rPr>
          <w:rFonts w:eastAsia="Times New Roman"/>
          <w:lang w:eastAsia="sr-Latn-RS"/>
        </w:rPr>
        <w:t>роби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намењеним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становништву</w:t>
      </w:r>
      <w:proofErr w:type="spellEnd"/>
      <w:r w:rsidR="00C31BA3" w:rsidRPr="00FD32EC">
        <w:rPr>
          <w:rFonts w:eastAsia="Times New Roman"/>
          <w:lang w:eastAsia="sr-Latn-RS"/>
        </w:rPr>
        <w:t xml:space="preserve">, </w:t>
      </w:r>
      <w:proofErr w:type="spellStart"/>
      <w:r w:rsidR="00C31BA3" w:rsidRPr="00FD32EC">
        <w:rPr>
          <w:rFonts w:eastAsia="Times New Roman"/>
          <w:lang w:eastAsia="sr-Latn-RS"/>
        </w:rPr>
        <w:t>животињама</w:t>
      </w:r>
      <w:proofErr w:type="spellEnd"/>
      <w:r w:rsidR="00C31BA3" w:rsidRPr="00FD32EC">
        <w:rPr>
          <w:rFonts w:eastAsia="Times New Roman"/>
          <w:lang w:eastAsia="sr-Latn-RS"/>
        </w:rPr>
        <w:t xml:space="preserve"> и </w:t>
      </w:r>
      <w:proofErr w:type="spellStart"/>
      <w:r w:rsidR="00C31BA3" w:rsidRPr="00FD32EC">
        <w:rPr>
          <w:rFonts w:eastAsia="Times New Roman"/>
          <w:lang w:eastAsia="sr-Latn-RS"/>
        </w:rPr>
        <w:t>производима</w:t>
      </w:r>
      <w:proofErr w:type="spellEnd"/>
      <w:r w:rsidR="00C31BA3" w:rsidRPr="00FD32EC">
        <w:rPr>
          <w:rFonts w:eastAsia="Times New Roman"/>
          <w:lang w:eastAsia="sr-Latn-RS"/>
        </w:rPr>
        <w:t xml:space="preserve"> и </w:t>
      </w:r>
      <w:proofErr w:type="spellStart"/>
      <w:r w:rsidR="00C31BA3" w:rsidRPr="00FD32EC">
        <w:rPr>
          <w:rFonts w:eastAsia="Times New Roman"/>
          <w:lang w:eastAsia="sr-Latn-RS"/>
        </w:rPr>
        <w:t>другој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роби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намењеним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за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употребу</w:t>
      </w:r>
      <w:proofErr w:type="spellEnd"/>
      <w:r w:rsidR="00C31BA3" w:rsidRPr="00FD32EC">
        <w:rPr>
          <w:rFonts w:eastAsia="Times New Roman"/>
          <w:lang w:eastAsia="sr-Latn-RS"/>
        </w:rPr>
        <w:t xml:space="preserve"> у </w:t>
      </w:r>
      <w:proofErr w:type="spellStart"/>
      <w:r w:rsidR="00C31BA3" w:rsidRPr="00FD32EC">
        <w:rPr>
          <w:rFonts w:eastAsia="Times New Roman"/>
          <w:lang w:eastAsia="sr-Latn-RS"/>
        </w:rPr>
        <w:t>радној</w:t>
      </w:r>
      <w:proofErr w:type="spellEnd"/>
      <w:r w:rsidR="00C31BA3" w:rsidRPr="00FD32EC">
        <w:rPr>
          <w:rFonts w:eastAsia="Times New Roman"/>
          <w:lang w:eastAsia="sr-Latn-RS"/>
        </w:rPr>
        <w:t xml:space="preserve"> и </w:t>
      </w:r>
      <w:proofErr w:type="spellStart"/>
      <w:r w:rsidR="00C31BA3" w:rsidRPr="00FD32EC">
        <w:rPr>
          <w:rFonts w:eastAsia="Times New Roman"/>
          <w:lang w:eastAsia="sr-Latn-RS"/>
        </w:rPr>
        <w:t>животној</w:t>
      </w:r>
      <w:proofErr w:type="spellEnd"/>
      <w:r w:rsidR="00C31BA3" w:rsidRPr="00FD32EC">
        <w:rPr>
          <w:rFonts w:eastAsia="Times New Roman"/>
          <w:lang w:eastAsia="sr-Latn-RS"/>
        </w:rPr>
        <w:t xml:space="preserve"> </w:t>
      </w:r>
      <w:proofErr w:type="spellStart"/>
      <w:r w:rsidR="00C31BA3" w:rsidRPr="00FD32EC">
        <w:rPr>
          <w:rFonts w:eastAsia="Times New Roman"/>
          <w:lang w:eastAsia="sr-Latn-RS"/>
        </w:rPr>
        <w:t>средини</w:t>
      </w:r>
      <w:proofErr w:type="spellEnd"/>
      <w:r w:rsidR="00DB4774" w:rsidRPr="00FD32EC">
        <w:rPr>
          <w:rFonts w:eastAsia="Times New Roman"/>
          <w:lang w:eastAsia="sr-Latn-RS"/>
        </w:rPr>
        <w:t xml:space="preserve"> </w:t>
      </w:r>
      <w:r w:rsidR="00DB4774" w:rsidRPr="00FD32EC">
        <w:rPr>
          <w:rFonts w:eastAsia="Times New Roman"/>
          <w:lang w:val="sr-Cyrl-RS" w:eastAsia="sr-Latn-RS"/>
        </w:rPr>
        <w:t>те у</w:t>
      </w:r>
      <w:r w:rsidR="00193DAD" w:rsidRPr="00FD32EC">
        <w:rPr>
          <w:rFonts w:eastAsia="Times New Roman"/>
          <w:lang w:val="sr-Cyrl-RS" w:eastAsia="sr-Latn-RS"/>
        </w:rPr>
        <w:t xml:space="preserve">тврђивањем усаглашености </w:t>
      </w:r>
      <w:r w:rsidR="00C31BA3" w:rsidRPr="00FD32EC">
        <w:rPr>
          <w:rFonts w:eastAsia="Times New Roman"/>
          <w:lang w:val="sr-Cyrl-RS" w:eastAsia="sr-Latn-RS"/>
        </w:rPr>
        <w:t xml:space="preserve">резултата одређивања садржаја радионуклида </w:t>
      </w:r>
      <w:r w:rsidR="00E442E9" w:rsidRPr="00FD32EC">
        <w:rPr>
          <w:rFonts w:eastAsia="Times New Roman"/>
          <w:lang w:val="sr-Cyrl-RS" w:eastAsia="sr-Latn-RS"/>
        </w:rPr>
        <w:t xml:space="preserve">и вредности њихових изведених величина </w:t>
      </w:r>
      <w:r w:rsidR="00C31BA3" w:rsidRPr="00FD32EC">
        <w:rPr>
          <w:rFonts w:eastAsia="Times New Roman"/>
          <w:lang w:val="sr-Cyrl-RS" w:eastAsia="sr-Latn-RS"/>
        </w:rPr>
        <w:t xml:space="preserve">са </w:t>
      </w:r>
      <w:r w:rsidR="00E442E9" w:rsidRPr="00FD32EC">
        <w:rPr>
          <w:rFonts w:eastAsia="Times New Roman"/>
          <w:lang w:val="sr-Cyrl-RS" w:eastAsia="sr-Latn-RS"/>
        </w:rPr>
        <w:t xml:space="preserve">показатељима </w:t>
      </w:r>
      <w:r w:rsidR="00333494" w:rsidRPr="00FD32EC">
        <w:rPr>
          <w:rFonts w:eastAsia="Times New Roman"/>
          <w:lang w:val="sr-Cyrl-RS" w:eastAsia="sr-Latn-RS"/>
        </w:rPr>
        <w:t xml:space="preserve">контроле садржаја радионуклида </w:t>
      </w:r>
      <w:r w:rsidR="00C31BA3" w:rsidRPr="00FD32EC">
        <w:rPr>
          <w:rFonts w:eastAsia="Times New Roman"/>
          <w:lang w:val="sr-Cyrl-RS" w:eastAsia="sr-Latn-RS"/>
        </w:rPr>
        <w:t xml:space="preserve">на начин како је </w:t>
      </w:r>
      <w:r w:rsidR="00333494" w:rsidRPr="00FD32EC">
        <w:rPr>
          <w:rFonts w:eastAsia="Times New Roman"/>
          <w:lang w:val="sr-Cyrl-RS" w:eastAsia="sr-Latn-RS"/>
        </w:rPr>
        <w:t>утврђено овим правилником</w:t>
      </w:r>
      <w:r w:rsidR="007F1D6E" w:rsidRPr="00FD32EC">
        <w:rPr>
          <w:rFonts w:eastAsia="Times New Roman"/>
          <w:lang w:val="sr-Cyrl-RS" w:eastAsia="sr-Latn-RS"/>
        </w:rPr>
        <w:t>.</w:t>
      </w:r>
    </w:p>
    <w:p w14:paraId="6FDD4941" w14:textId="77777777" w:rsidR="00EC670B" w:rsidRPr="00FD32EC" w:rsidRDefault="00EC670B" w:rsidP="0054763C">
      <w:pPr>
        <w:spacing w:after="120"/>
        <w:jc w:val="both"/>
        <w:rPr>
          <w:rFonts w:eastAsia="Times New Roman"/>
          <w:lang w:eastAsia="sr-Latn-RS"/>
        </w:rPr>
      </w:pPr>
    </w:p>
    <w:p w14:paraId="068529B8" w14:textId="1314ACE3" w:rsidR="002A33E2" w:rsidRPr="00FD32EC" w:rsidRDefault="001F04D7" w:rsidP="0054763C">
      <w:pPr>
        <w:spacing w:after="120"/>
        <w:jc w:val="center"/>
        <w:rPr>
          <w:rFonts w:eastAsia="Times New Roman"/>
          <w:bCs/>
          <w:lang w:eastAsia="sr-Latn-RS"/>
        </w:rPr>
      </w:pPr>
      <w:bookmarkStart w:id="0" w:name="clan_2"/>
      <w:bookmarkEnd w:id="0"/>
      <w:proofErr w:type="spellStart"/>
      <w:r w:rsidRPr="00FD32EC">
        <w:rPr>
          <w:rFonts w:eastAsia="Times New Roman"/>
          <w:bCs/>
          <w:lang w:eastAsia="sr-Latn-RS"/>
        </w:rPr>
        <w:t>Значење</w:t>
      </w:r>
      <w:proofErr w:type="spellEnd"/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bCs/>
          <w:lang w:eastAsia="sr-Latn-RS"/>
        </w:rPr>
        <w:t>појмова</w:t>
      </w:r>
      <w:proofErr w:type="spellEnd"/>
    </w:p>
    <w:p w14:paraId="3D9E2CF8" w14:textId="0FB7F599" w:rsidR="002A33E2" w:rsidRPr="00FD32EC" w:rsidRDefault="002A33E2" w:rsidP="0054763C">
      <w:pPr>
        <w:spacing w:after="120"/>
        <w:jc w:val="center"/>
        <w:rPr>
          <w:rFonts w:eastAsia="Times New Roman"/>
          <w:bCs/>
          <w:lang w:val="sr-Cyrl-RS" w:eastAsia="sr-Latn-RS"/>
        </w:rPr>
      </w:pPr>
      <w:bookmarkStart w:id="1" w:name="clan_3"/>
      <w:bookmarkEnd w:id="1"/>
      <w:proofErr w:type="spellStart"/>
      <w:r w:rsidRPr="00FD32EC">
        <w:rPr>
          <w:rFonts w:eastAsia="Times New Roman"/>
          <w:bCs/>
          <w:lang w:eastAsia="sr-Latn-RS"/>
        </w:rPr>
        <w:t>Члан</w:t>
      </w:r>
      <w:proofErr w:type="spellEnd"/>
      <w:r w:rsidRPr="00FD32EC">
        <w:rPr>
          <w:rFonts w:eastAsia="Times New Roman"/>
          <w:bCs/>
          <w:lang w:eastAsia="sr-Latn-RS"/>
        </w:rPr>
        <w:t xml:space="preserve"> </w:t>
      </w:r>
      <w:r w:rsidR="00AA2C5C" w:rsidRPr="00FD32EC">
        <w:rPr>
          <w:rFonts w:eastAsia="Times New Roman"/>
          <w:bCs/>
          <w:lang w:val="sr-Cyrl-RS" w:eastAsia="sr-Latn-RS"/>
        </w:rPr>
        <w:t>2.</w:t>
      </w:r>
    </w:p>
    <w:p w14:paraId="782FF79D" w14:textId="77777777" w:rsidR="002A33E2" w:rsidRPr="00FD32EC" w:rsidRDefault="002A33E2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Поједини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изрази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употребљени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овом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правилнику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имају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следеће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значење</w:t>
      </w:r>
      <w:proofErr w:type="spellEnd"/>
      <w:r w:rsidRPr="00FD32EC">
        <w:rPr>
          <w:rFonts w:eastAsia="Times New Roman"/>
          <w:lang w:eastAsia="sr-Latn-RS"/>
        </w:rPr>
        <w:t xml:space="preserve">: </w:t>
      </w:r>
    </w:p>
    <w:p w14:paraId="714108BC" w14:textId="2710EA86" w:rsidR="00A779F3" w:rsidRPr="00FD32EC" w:rsidRDefault="000B7915" w:rsidP="0054763C">
      <w:pPr>
        <w:spacing w:after="120"/>
        <w:jc w:val="both"/>
        <w:rPr>
          <w:noProof/>
          <w:lang w:val="sr-Cyrl-RS"/>
        </w:rPr>
      </w:pPr>
      <w:r w:rsidRPr="00FD32EC">
        <w:rPr>
          <w:rFonts w:eastAsia="Times New Roman"/>
          <w:lang w:val="sr-Cyrl-RS" w:eastAsia="sr-Latn-RS"/>
        </w:rPr>
        <w:t>1</w:t>
      </w:r>
      <w:r w:rsidR="00A779F3" w:rsidRPr="00FD32EC">
        <w:rPr>
          <w:rFonts w:eastAsia="Times New Roman"/>
          <w:i/>
          <w:lang w:val="sr-Cyrl-RS" w:eastAsia="sr-Latn-RS"/>
        </w:rPr>
        <w:t xml:space="preserve">. </w:t>
      </w:r>
      <w:r w:rsidR="00A779F3" w:rsidRPr="00FD32EC">
        <w:rPr>
          <w:i/>
          <w:noProof/>
          <w:lang w:val="sr-Cyrl-RS"/>
        </w:rPr>
        <w:t>В</w:t>
      </w:r>
      <w:r w:rsidR="00A779F3" w:rsidRPr="00FD32EC">
        <w:rPr>
          <w:i/>
          <w:noProof/>
          <w:lang w:val="sr-Latn-CS"/>
        </w:rPr>
        <w:t xml:space="preserve">ода </w:t>
      </w:r>
      <w:r w:rsidR="00A779F3" w:rsidRPr="00FD32EC">
        <w:rPr>
          <w:i/>
          <w:noProof/>
          <w:lang w:val="sr-Cyrl-RS"/>
        </w:rPr>
        <w:t xml:space="preserve">за пиће </w:t>
      </w:r>
      <w:r w:rsidR="00A779F3" w:rsidRPr="00FD32EC">
        <w:rPr>
          <w:noProof/>
          <w:lang w:val="sr-Cyrl-RS"/>
        </w:rPr>
        <w:t xml:space="preserve">је вода </w:t>
      </w:r>
      <w:r w:rsidR="00A779F3" w:rsidRPr="00FD32EC">
        <w:rPr>
          <w:noProof/>
          <w:lang w:val="sr-Latn-CS"/>
        </w:rPr>
        <w:t xml:space="preserve">намењена за </w:t>
      </w:r>
      <w:r w:rsidR="00A779F3" w:rsidRPr="00FD32EC">
        <w:rPr>
          <w:noProof/>
          <w:lang w:val="sr-Cyrl-RS"/>
        </w:rPr>
        <w:t xml:space="preserve"> људску употребу и обухвата:</w:t>
      </w:r>
    </w:p>
    <w:p w14:paraId="66F90CA1" w14:textId="77777777" w:rsidR="00A779F3" w:rsidRPr="00FD32EC" w:rsidRDefault="00A779F3" w:rsidP="0054763C">
      <w:pPr>
        <w:tabs>
          <w:tab w:val="left" w:pos="709"/>
        </w:tabs>
        <w:spacing w:after="120"/>
        <w:jc w:val="both"/>
        <w:rPr>
          <w:noProof/>
          <w:lang w:val="sr-Latn-CS"/>
        </w:rPr>
      </w:pPr>
      <w:r w:rsidRPr="00FD32EC">
        <w:rPr>
          <w:noProof/>
          <w:lang w:val="sr-Cyrl-RS"/>
        </w:rPr>
        <w:t xml:space="preserve">а) </w:t>
      </w:r>
      <w:r w:rsidRPr="00FD32EC">
        <w:rPr>
          <w:noProof/>
          <w:lang w:val="sr-Latn-CS"/>
        </w:rPr>
        <w:t>вод</w:t>
      </w:r>
      <w:r w:rsidRPr="00FD32EC">
        <w:rPr>
          <w:noProof/>
          <w:lang w:val="sr-Cyrl-RS"/>
        </w:rPr>
        <w:t>у</w:t>
      </w:r>
      <w:r w:rsidRPr="00FD32EC">
        <w:rPr>
          <w:noProof/>
          <w:lang w:val="sr-Latn-CS"/>
        </w:rPr>
        <w:t xml:space="preserve"> у њеном оригиналном стању или након третмана, намењена за пиће, кување, припрему хране или друге потребе домаћинства, без обзира на њено порекло и да ли се њоме снабдева из дистрибутивне мреже, цистерне, или у боцама или посудама;</w:t>
      </w:r>
    </w:p>
    <w:p w14:paraId="7B6671E6" w14:textId="77777777" w:rsidR="00A779F3" w:rsidRPr="00FD32EC" w:rsidRDefault="00A779F3" w:rsidP="0054763C">
      <w:pPr>
        <w:tabs>
          <w:tab w:val="left" w:pos="709"/>
        </w:tabs>
        <w:spacing w:after="120"/>
        <w:jc w:val="both"/>
        <w:rPr>
          <w:noProof/>
          <w:lang w:val="sr-Cyrl-RS"/>
        </w:rPr>
      </w:pPr>
      <w:r w:rsidRPr="00FD32EC">
        <w:rPr>
          <w:rStyle w:val="tw4winMark"/>
          <w:noProof/>
          <w:vanish w:val="0"/>
          <w:color w:val="auto"/>
          <w:vertAlign w:val="baseline"/>
          <w:lang w:val="sr-Cyrl-RS"/>
        </w:rPr>
        <w:t>б</w:t>
      </w:r>
      <w:r w:rsidRPr="00FD32EC">
        <w:rPr>
          <w:rStyle w:val="tw4winMark"/>
          <w:noProof/>
          <w:vanish w:val="0"/>
          <w:color w:val="auto"/>
          <w:vertAlign w:val="baseline"/>
        </w:rPr>
        <w:t xml:space="preserve">) </w:t>
      </w:r>
      <w:r w:rsidRPr="00FD32EC">
        <w:rPr>
          <w:noProof/>
          <w:lang w:val="sr-Latn-CS"/>
        </w:rPr>
        <w:t>вод</w:t>
      </w:r>
      <w:r w:rsidRPr="00FD32EC">
        <w:rPr>
          <w:noProof/>
          <w:lang w:val="sr-Cyrl-RS"/>
        </w:rPr>
        <w:t>у</w:t>
      </w:r>
      <w:r w:rsidRPr="00FD32EC">
        <w:rPr>
          <w:noProof/>
          <w:lang w:val="sr-Latn-CS"/>
        </w:rPr>
        <w:t xml:space="preserve"> која се користи у било којем предузећу за производњу</w:t>
      </w:r>
      <w:r w:rsidRPr="00FD32EC">
        <w:rPr>
          <w:noProof/>
          <w:lang w:val="sr-Cyrl-RS"/>
        </w:rPr>
        <w:t xml:space="preserve"> хране у сврхе</w:t>
      </w:r>
      <w:r w:rsidRPr="00FD32EC">
        <w:rPr>
          <w:noProof/>
          <w:lang w:val="sr-Latn-CS"/>
        </w:rPr>
        <w:t xml:space="preserve"> прерад</w:t>
      </w:r>
      <w:r w:rsidRPr="00FD32EC">
        <w:rPr>
          <w:noProof/>
          <w:lang w:val="sr-Cyrl-RS"/>
        </w:rPr>
        <w:t>е</w:t>
      </w:r>
      <w:r w:rsidRPr="00FD32EC">
        <w:rPr>
          <w:noProof/>
          <w:lang w:val="sr-Latn-CS"/>
        </w:rPr>
        <w:t>, очувањ</w:t>
      </w:r>
      <w:r w:rsidRPr="00FD32EC">
        <w:rPr>
          <w:noProof/>
          <w:lang w:val="sr-Cyrl-RS"/>
        </w:rPr>
        <w:t>а</w:t>
      </w:r>
      <w:r w:rsidRPr="00FD32EC">
        <w:rPr>
          <w:noProof/>
          <w:lang w:val="sr-Latn-CS"/>
        </w:rPr>
        <w:t xml:space="preserve"> или пласирањ</w:t>
      </w:r>
      <w:r w:rsidRPr="00FD32EC">
        <w:rPr>
          <w:noProof/>
          <w:lang w:val="sr-Cyrl-RS"/>
        </w:rPr>
        <w:t>а</w:t>
      </w:r>
      <w:r w:rsidRPr="00FD32EC">
        <w:rPr>
          <w:noProof/>
          <w:lang w:val="sr-Latn-CS"/>
        </w:rPr>
        <w:t xml:space="preserve"> на тржиште производа или супстанци намењених за</w:t>
      </w:r>
      <w:r w:rsidRPr="00FD32EC">
        <w:rPr>
          <w:noProof/>
          <w:lang w:val="sr-Cyrl-RS"/>
        </w:rPr>
        <w:t xml:space="preserve"> људску употребу</w:t>
      </w:r>
      <w:r w:rsidRPr="00FD32EC">
        <w:rPr>
          <w:noProof/>
          <w:lang w:val="sr-Latn-CS"/>
        </w:rPr>
        <w:t xml:space="preserve"> осим </w:t>
      </w:r>
      <w:r w:rsidRPr="00FD32EC">
        <w:rPr>
          <w:noProof/>
          <w:lang w:val="sr-Cyrl-RS"/>
        </w:rPr>
        <w:t xml:space="preserve">ако </w:t>
      </w:r>
      <w:r w:rsidRPr="00FD32EC">
        <w:rPr>
          <w:noProof/>
          <w:lang w:val="sr-Latn-CS"/>
        </w:rPr>
        <w:t>органи</w:t>
      </w:r>
      <w:r w:rsidRPr="00FD32EC">
        <w:rPr>
          <w:noProof/>
          <w:lang w:val="sr-Cyrl-RS"/>
        </w:rPr>
        <w:t xml:space="preserve"> надлежни за оцену квалитета воде</w:t>
      </w:r>
      <w:r w:rsidRPr="00FD32EC">
        <w:rPr>
          <w:noProof/>
          <w:lang w:val="sr-Latn-CS"/>
        </w:rPr>
        <w:t xml:space="preserve"> </w:t>
      </w:r>
      <w:r w:rsidRPr="00FD32EC">
        <w:rPr>
          <w:noProof/>
          <w:lang w:val="sr-Cyrl-RS"/>
        </w:rPr>
        <w:t>не утврде</w:t>
      </w:r>
      <w:r w:rsidRPr="00FD32EC">
        <w:rPr>
          <w:noProof/>
          <w:lang w:val="sr-Latn-CS"/>
        </w:rPr>
        <w:t xml:space="preserve"> да квалитет воде не може да утиче на здравствену исправност хране у њеном коначном облику;</w:t>
      </w:r>
    </w:p>
    <w:p w14:paraId="0793959B" w14:textId="6B8943A1" w:rsidR="00A779F3" w:rsidRPr="00FD32EC" w:rsidRDefault="000B7915" w:rsidP="0054763C">
      <w:pPr>
        <w:spacing w:after="120"/>
        <w:jc w:val="both"/>
        <w:rPr>
          <w:noProof/>
          <w:lang w:val="sr-Cyrl-RS"/>
        </w:rPr>
      </w:pPr>
      <w:r w:rsidRPr="00FD32EC">
        <w:rPr>
          <w:noProof/>
          <w:lang w:val="sr-Cyrl-RS"/>
        </w:rPr>
        <w:t>2</w:t>
      </w:r>
      <w:r w:rsidR="00A779F3" w:rsidRPr="00FD32EC">
        <w:rPr>
          <w:i/>
          <w:noProof/>
          <w:lang w:val="sr-Cyrl-RS"/>
        </w:rPr>
        <w:t xml:space="preserve">. </w:t>
      </w:r>
      <w:r w:rsidR="00C10DAF" w:rsidRPr="00FD32EC">
        <w:rPr>
          <w:i/>
          <w:noProof/>
          <w:lang w:val="sr-Cyrl-RS"/>
        </w:rPr>
        <w:t>Храна</w:t>
      </w:r>
      <w:r w:rsidR="00A779F3" w:rsidRPr="00FD32EC">
        <w:rPr>
          <w:i/>
          <w:noProof/>
          <w:lang w:val="sr-Cyrl-RS"/>
        </w:rPr>
        <w:t xml:space="preserve"> </w:t>
      </w:r>
      <w:r w:rsidR="00A779F3" w:rsidRPr="00FD32EC">
        <w:rPr>
          <w:noProof/>
          <w:lang w:val="sr-Cyrl-RS"/>
        </w:rPr>
        <w:t>јесте свака супстанца или производ, прерађена, делимично прерађена или непрерађена, а намењена је за исхрану људи или се оправдано може очекивати да ће се користити за људску употребу, осим хране за животиње, живих животиња, ако нису припремљене за стављање у промет ради исхране људи, биљака пре жетве, бербе или убирања плодова, медицинских производа, козметичких производа, дувана и дуванских производа, психо</w:t>
      </w:r>
      <w:r w:rsidR="00C16486" w:rsidRPr="00FD32EC">
        <w:rPr>
          <w:noProof/>
          <w:lang w:val="sr-Cyrl-RS"/>
        </w:rPr>
        <w:t>активно контролисаних</w:t>
      </w:r>
      <w:r w:rsidR="00A779F3" w:rsidRPr="00FD32EC">
        <w:rPr>
          <w:noProof/>
          <w:lang w:val="sr-Cyrl-RS"/>
        </w:rPr>
        <w:t xml:space="preserve"> супстанци</w:t>
      </w:r>
      <w:r w:rsidR="00C16486" w:rsidRPr="00FD32EC">
        <w:rPr>
          <w:noProof/>
          <w:lang w:val="sr-Cyrl-RS"/>
        </w:rPr>
        <w:t xml:space="preserve"> и прекурсора</w:t>
      </w:r>
      <w:r w:rsidR="00A779F3" w:rsidRPr="00FD32EC">
        <w:rPr>
          <w:noProof/>
          <w:lang w:val="sr-Cyrl-RS"/>
        </w:rPr>
        <w:t xml:space="preserve">, остатака (резидуа) и контаминената. </w:t>
      </w:r>
    </w:p>
    <w:p w14:paraId="43DF00D9" w14:textId="73FAD8A7" w:rsidR="00A779F3" w:rsidRPr="00FD32EC" w:rsidRDefault="00402101" w:rsidP="0054763C">
      <w:pPr>
        <w:spacing w:after="120"/>
        <w:jc w:val="both"/>
        <w:rPr>
          <w:noProof/>
          <w:lang w:val="sr-Cyrl-RS"/>
        </w:rPr>
      </w:pPr>
      <w:r w:rsidRPr="00FD32EC">
        <w:rPr>
          <w:noProof/>
          <w:lang w:val="sr-Cyrl-RS"/>
        </w:rPr>
        <w:lastRenderedPageBreak/>
        <w:t>Храна јесте</w:t>
      </w:r>
      <w:r w:rsidR="00A779F3" w:rsidRPr="00FD32EC">
        <w:rPr>
          <w:noProof/>
          <w:lang w:val="sr-Cyrl-RS"/>
        </w:rPr>
        <w:t xml:space="preserve"> и пиће, гума за жвакање, као и било која супстанца наменски додата храни током припреме, обраде или производње;</w:t>
      </w:r>
    </w:p>
    <w:p w14:paraId="5D305EBF" w14:textId="15DCEDDE" w:rsidR="00A779F3" w:rsidRPr="00FD32EC" w:rsidRDefault="000B7915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iCs/>
          <w:lang w:val="sr-Cyrl-RS" w:eastAsia="sr-Latn-RS"/>
        </w:rPr>
        <w:t>3</w:t>
      </w:r>
      <w:r w:rsidR="009B2600" w:rsidRPr="00FD32EC">
        <w:rPr>
          <w:rFonts w:eastAsia="Times New Roman"/>
          <w:iCs/>
          <w:lang w:val="sr-Cyrl-RS" w:eastAsia="sr-Latn-RS"/>
        </w:rPr>
        <w:t>.</w:t>
      </w:r>
      <w:r w:rsidR="008733ED" w:rsidRPr="00FD32EC">
        <w:rPr>
          <w:rFonts w:eastAsia="Times New Roman"/>
          <w:iCs/>
          <w:lang w:val="sr-Cyrl-RS" w:eastAsia="sr-Latn-RS"/>
        </w:rPr>
        <w:t xml:space="preserve"> </w:t>
      </w:r>
      <w:proofErr w:type="spellStart"/>
      <w:r w:rsidR="00A779F3" w:rsidRPr="00FD32EC">
        <w:rPr>
          <w:rFonts w:eastAsia="Times New Roman"/>
          <w:i/>
          <w:iCs/>
          <w:lang w:eastAsia="sr-Latn-RS"/>
        </w:rPr>
        <w:t>Изведене</w:t>
      </w:r>
      <w:proofErr w:type="spellEnd"/>
      <w:r w:rsidR="00A779F3" w:rsidRPr="00FD32EC">
        <w:rPr>
          <w:rFonts w:eastAsia="Times New Roman"/>
          <w:i/>
          <w:iCs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i/>
          <w:iCs/>
          <w:lang w:eastAsia="sr-Latn-RS"/>
        </w:rPr>
        <w:t>концентрације</w:t>
      </w:r>
      <w:proofErr w:type="spellEnd"/>
      <w:r w:rsidR="00A779F3" w:rsidRPr="00FD32EC">
        <w:rPr>
          <w:rFonts w:eastAsia="Times New Roman"/>
          <w:i/>
          <w:iCs/>
          <w:lang w:eastAsia="sr-Latn-RS"/>
        </w:rPr>
        <w:t xml:space="preserve"> радионуклида</w:t>
      </w:r>
      <w:r w:rsidR="00A779F3" w:rsidRPr="00FD32EC">
        <w:rPr>
          <w:rFonts w:eastAsia="Times New Roman"/>
          <w:i/>
          <w:iCs/>
          <w:lang w:val="sr-Cyrl-RS" w:eastAsia="sr-Latn-RS"/>
        </w:rPr>
        <w:t xml:space="preserve"> </w:t>
      </w:r>
      <w:r w:rsidR="00A779F3" w:rsidRPr="00FD32EC">
        <w:rPr>
          <w:rFonts w:eastAsia="Times New Roman"/>
          <w:iCs/>
          <w:lang w:val="sr-Cyrl-RS" w:eastAsia="sr-Latn-RS"/>
        </w:rPr>
        <w:t>(</w:t>
      </w:r>
      <w:r w:rsidR="00A779F3" w:rsidRPr="00FD32EC">
        <w:rPr>
          <w:rFonts w:eastAsia="Times New Roman"/>
          <w:iCs/>
          <w:lang w:eastAsia="sr-Latn-RS"/>
        </w:rPr>
        <w:t>IK</w:t>
      </w:r>
      <w:r w:rsidR="00A779F3" w:rsidRPr="00FD32EC">
        <w:rPr>
          <w:rFonts w:eastAsia="Times New Roman"/>
          <w:iCs/>
          <w:lang w:val="sr-Cyrl-RS" w:eastAsia="sr-Latn-RS"/>
        </w:rPr>
        <w:t>)</w:t>
      </w:r>
      <w:r w:rsidR="00A779F3" w:rsidRPr="00FD32EC">
        <w:rPr>
          <w:rFonts w:eastAsia="Times New Roman"/>
          <w:lang w:eastAsia="sr-Latn-RS"/>
        </w:rPr>
        <w:t xml:space="preserve"> у </w:t>
      </w:r>
      <w:proofErr w:type="spellStart"/>
      <w:r w:rsidR="00A779F3" w:rsidRPr="00FD32EC">
        <w:rPr>
          <w:rFonts w:eastAsia="Times New Roman"/>
          <w:lang w:eastAsia="sr-Latn-RS"/>
        </w:rPr>
        <w:t>животној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средини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су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вредности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контаминације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животне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средине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које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су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на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основу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стандардизованих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модела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изведене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из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примарних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или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секундарних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граница</w:t>
      </w:r>
      <w:proofErr w:type="spellEnd"/>
      <w:r w:rsidR="00A779F3" w:rsidRPr="00FD32EC">
        <w:rPr>
          <w:rFonts w:eastAsia="Times New Roman"/>
          <w:lang w:eastAsia="sr-Latn-RS"/>
        </w:rPr>
        <w:t xml:space="preserve"> и </w:t>
      </w:r>
      <w:proofErr w:type="spellStart"/>
      <w:r w:rsidR="00A779F3" w:rsidRPr="00FD32EC">
        <w:rPr>
          <w:rFonts w:eastAsia="Times New Roman"/>
          <w:lang w:eastAsia="sr-Latn-RS"/>
        </w:rPr>
        <w:t>чијом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се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употребом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обезбеђује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да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прописане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грани</w:t>
      </w:r>
      <w:r w:rsidR="00A779F3" w:rsidRPr="00FD32EC">
        <w:rPr>
          <w:rFonts w:eastAsia="Times New Roman"/>
          <w:lang w:val="sr-Cyrl-RS" w:eastAsia="sr-Latn-RS"/>
        </w:rPr>
        <w:t>чне</w:t>
      </w:r>
      <w:proofErr w:type="spellEnd"/>
      <w:r w:rsidR="00A779F3" w:rsidRPr="00FD32EC">
        <w:rPr>
          <w:rFonts w:eastAsia="Times New Roman"/>
          <w:lang w:val="sr-Cyrl-RS" w:eastAsia="sr-Latn-RS"/>
        </w:rPr>
        <w:t xml:space="preserve"> вредности ефективне дозе </w:t>
      </w:r>
      <w:proofErr w:type="spellStart"/>
      <w:r w:rsidR="00A779F3" w:rsidRPr="00FD32EC">
        <w:rPr>
          <w:rFonts w:eastAsia="Times New Roman"/>
          <w:lang w:eastAsia="sr-Latn-RS"/>
        </w:rPr>
        <w:t>не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буду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прекорачене</w:t>
      </w:r>
      <w:proofErr w:type="spellEnd"/>
      <w:r w:rsidR="00A779F3" w:rsidRPr="00FD32EC">
        <w:rPr>
          <w:rFonts w:eastAsia="Times New Roman"/>
          <w:lang w:eastAsia="sr-Latn-RS"/>
        </w:rPr>
        <w:t>;</w:t>
      </w:r>
    </w:p>
    <w:p w14:paraId="23AF9E07" w14:textId="579E098E" w:rsidR="002A33E2" w:rsidRPr="00FD32EC" w:rsidRDefault="000B7915" w:rsidP="0054763C">
      <w:pPr>
        <w:spacing w:after="120"/>
        <w:jc w:val="both"/>
        <w:rPr>
          <w:noProof/>
          <w:lang w:val="sr-Latn-CS"/>
        </w:rPr>
      </w:pPr>
      <w:r w:rsidRPr="00FD32EC">
        <w:rPr>
          <w:rFonts w:eastAsia="Times New Roman"/>
          <w:lang w:val="sr-Cyrl-RS" w:eastAsia="sr-Latn-RS"/>
        </w:rPr>
        <w:t>4</w:t>
      </w:r>
      <w:r w:rsidR="00A779F3" w:rsidRPr="00FD32EC">
        <w:rPr>
          <w:rFonts w:eastAsia="Times New Roman"/>
          <w:lang w:val="sr-Cyrl-RS" w:eastAsia="sr-Latn-RS"/>
        </w:rPr>
        <w:t xml:space="preserve">. </w:t>
      </w:r>
      <w:r w:rsidR="00A779F3" w:rsidRPr="00FD32EC">
        <w:rPr>
          <w:i/>
          <w:noProof/>
          <w:lang w:val="sr-Cyrl-RS"/>
        </w:rPr>
        <w:t>Индикативна доза</w:t>
      </w:r>
      <w:r w:rsidR="00A779F3" w:rsidRPr="00FD32EC">
        <w:rPr>
          <w:noProof/>
          <w:lang w:val="sr-Cyrl-RS"/>
        </w:rPr>
        <w:t xml:space="preserve"> представља </w:t>
      </w:r>
      <w:r w:rsidR="00A779F3" w:rsidRPr="00FD32EC">
        <w:rPr>
          <w:noProof/>
          <w:lang w:val="sr-Latn-CS"/>
        </w:rPr>
        <w:t>очекиван</w:t>
      </w:r>
      <w:r w:rsidR="00A779F3" w:rsidRPr="00FD32EC">
        <w:rPr>
          <w:noProof/>
          <w:lang w:val="sr-Cyrl-RS"/>
        </w:rPr>
        <w:t>у</w:t>
      </w:r>
      <w:r w:rsidR="00A779F3" w:rsidRPr="00FD32EC">
        <w:rPr>
          <w:noProof/>
          <w:lang w:val="sr-Latn-CS"/>
        </w:rPr>
        <w:t xml:space="preserve"> ефективн</w:t>
      </w:r>
      <w:r w:rsidR="00A779F3" w:rsidRPr="00FD32EC">
        <w:rPr>
          <w:noProof/>
          <w:lang w:val="sr-Cyrl-RS"/>
        </w:rPr>
        <w:t>у</w:t>
      </w:r>
      <w:r w:rsidR="00A779F3" w:rsidRPr="00FD32EC">
        <w:rPr>
          <w:noProof/>
          <w:lang w:val="sr-Latn-CS"/>
        </w:rPr>
        <w:t xml:space="preserve"> доза за годину</w:t>
      </w:r>
      <w:r w:rsidR="00A779F3" w:rsidRPr="00FD32EC">
        <w:rPr>
          <w:noProof/>
          <w:lang w:val="sr-Cyrl-RS"/>
        </w:rPr>
        <w:t xml:space="preserve"> дана</w:t>
      </w:r>
      <w:r w:rsidR="00A779F3" w:rsidRPr="00FD32EC">
        <w:rPr>
          <w:noProof/>
          <w:lang w:val="sr-Latn-CS"/>
        </w:rPr>
        <w:t xml:space="preserve"> ингестије </w:t>
      </w:r>
      <w:r w:rsidR="00A779F3" w:rsidRPr="00FD32EC">
        <w:rPr>
          <w:noProof/>
          <w:lang w:val="sr-Cyrl-RS"/>
        </w:rPr>
        <w:t xml:space="preserve">воде за пиће </w:t>
      </w:r>
      <w:r w:rsidR="00A779F3" w:rsidRPr="00FD32EC">
        <w:rPr>
          <w:noProof/>
          <w:lang w:val="sr-Latn-CS"/>
        </w:rPr>
        <w:t xml:space="preserve">која произлази </w:t>
      </w:r>
      <w:r w:rsidR="00A779F3" w:rsidRPr="00FD32EC">
        <w:rPr>
          <w:noProof/>
          <w:lang w:val="sr-Cyrl-RS"/>
        </w:rPr>
        <w:t>од</w:t>
      </w:r>
      <w:r w:rsidR="00A779F3" w:rsidRPr="00FD32EC">
        <w:rPr>
          <w:noProof/>
          <w:lang w:val="sr-Latn-CS"/>
        </w:rPr>
        <w:t xml:space="preserve"> свих радионуклида, природног или вештачког порекла, чије је присуство откривено у испоруци воде намењене за </w:t>
      </w:r>
      <w:r w:rsidR="00A779F3" w:rsidRPr="00FD32EC">
        <w:rPr>
          <w:noProof/>
          <w:lang w:val="sr-Cyrl-RS"/>
        </w:rPr>
        <w:t>људску потрошњу,</w:t>
      </w:r>
      <w:r w:rsidR="00A779F3" w:rsidRPr="00FD32EC">
        <w:rPr>
          <w:noProof/>
          <w:lang w:val="sr-Latn-CS"/>
        </w:rPr>
        <w:t xml:space="preserve"> али искључујући трицијум, калијум-40, радон и његове краткоживеће потомке;</w:t>
      </w:r>
    </w:p>
    <w:p w14:paraId="3B8E0470" w14:textId="363FD27A" w:rsidR="000E650F" w:rsidRPr="00FD32EC" w:rsidRDefault="00457848" w:rsidP="0087565E">
      <w:pPr>
        <w:rPr>
          <w:noProof/>
          <w:highlight w:val="yellow"/>
          <w:lang w:val="sr-Cyrl-RS"/>
        </w:rPr>
      </w:pPr>
      <w:r w:rsidRPr="00FD32EC">
        <w:rPr>
          <w:noProof/>
          <w:lang w:val="sr-Cyrl-RS"/>
        </w:rPr>
        <w:t xml:space="preserve">5. </w:t>
      </w:r>
      <w:r w:rsidRPr="00FD32EC">
        <w:rPr>
          <w:i/>
          <w:iCs/>
          <w:noProof/>
          <w:lang w:val="sr-Cyrl-RS"/>
        </w:rPr>
        <w:t>Основн</w:t>
      </w:r>
      <w:r w:rsidR="0087565E" w:rsidRPr="00FD32EC">
        <w:rPr>
          <w:i/>
          <w:iCs/>
          <w:noProof/>
          <w:lang w:val="sr-Cyrl-RS"/>
        </w:rPr>
        <w:t>о</w:t>
      </w:r>
      <w:r w:rsidRPr="00FD32EC">
        <w:rPr>
          <w:i/>
          <w:iCs/>
          <w:noProof/>
          <w:lang w:val="sr-Cyrl-RS"/>
        </w:rPr>
        <w:t xml:space="preserve"> зрачење</w:t>
      </w:r>
      <w:r w:rsidRPr="00FD32EC">
        <w:rPr>
          <w:noProof/>
          <w:lang w:val="sr-Cyrl-RS"/>
        </w:rPr>
        <w:t xml:space="preserve"> је </w:t>
      </w:r>
      <w:r w:rsidR="00B9598B" w:rsidRPr="00FD32EC">
        <w:rPr>
          <w:noProof/>
          <w:lang w:val="sr-Cyrl-RS"/>
        </w:rPr>
        <w:t xml:space="preserve">доза или јачина дозе (или мерена величина у вези са дозом или јачином дозе) која се може приписати свим </w:t>
      </w:r>
      <w:r w:rsidR="0087565E" w:rsidRPr="00FD32EC">
        <w:rPr>
          <w:noProof/>
          <w:lang w:val="sr-Cyrl-RS"/>
        </w:rPr>
        <w:t xml:space="preserve">осталим </w:t>
      </w:r>
      <w:r w:rsidR="00B9598B" w:rsidRPr="00FD32EC">
        <w:rPr>
          <w:noProof/>
          <w:lang w:val="sr-Cyrl-RS"/>
        </w:rPr>
        <w:t xml:space="preserve">изворима осим </w:t>
      </w:r>
      <w:r w:rsidR="0087565E" w:rsidRPr="00FD32EC">
        <w:rPr>
          <w:noProof/>
          <w:lang w:val="sr-Cyrl-RS"/>
        </w:rPr>
        <w:t>посматраног;</w:t>
      </w:r>
      <w:r w:rsidR="000E650F" w:rsidRPr="00FD32EC">
        <w:rPr>
          <w:noProof/>
          <w:highlight w:val="yellow"/>
          <w:lang w:val="sr-Cyrl-RS"/>
        </w:rPr>
        <w:t xml:space="preserve"> </w:t>
      </w:r>
    </w:p>
    <w:p w14:paraId="234E47D0" w14:textId="778BBE76" w:rsidR="00A779F3" w:rsidRPr="00FD32EC" w:rsidRDefault="0087565E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i/>
          <w:lang w:val="sr-Cyrl-RS" w:eastAsia="sr-Latn-RS"/>
        </w:rPr>
        <w:t>6</w:t>
      </w:r>
      <w:r w:rsidR="003566BD" w:rsidRPr="00FD32EC">
        <w:rPr>
          <w:rFonts w:eastAsia="Times New Roman"/>
          <w:i/>
          <w:lang w:eastAsia="sr-Latn-RS"/>
        </w:rPr>
        <w:t>.</w:t>
      </w:r>
      <w:r w:rsidR="00390F9D" w:rsidRPr="00FD32EC">
        <w:rPr>
          <w:rFonts w:eastAsia="Times New Roman"/>
          <w:i/>
          <w:lang w:val="sr-Cyrl-RS" w:eastAsia="sr-Latn-RS"/>
        </w:rPr>
        <w:t xml:space="preserve"> </w:t>
      </w:r>
      <w:r w:rsidR="003566BD" w:rsidRPr="00FD32EC">
        <w:rPr>
          <w:rFonts w:eastAsia="Times New Roman"/>
          <w:i/>
          <w:lang w:val="sr-Cyrl-RS" w:eastAsia="sr-Latn-RS"/>
        </w:rPr>
        <w:t>Параметарска вредност</w:t>
      </w:r>
      <w:r w:rsidR="003566BD" w:rsidRPr="00FD32EC">
        <w:rPr>
          <w:noProof/>
          <w:lang w:val="sr-Latn-CS"/>
        </w:rPr>
        <w:t xml:space="preserve"> је </w:t>
      </w:r>
      <w:r w:rsidR="009075CC" w:rsidRPr="00FD32EC">
        <w:rPr>
          <w:noProof/>
          <w:lang w:val="sr-Cyrl-RS"/>
        </w:rPr>
        <w:t xml:space="preserve">параметар присуства </w:t>
      </w:r>
      <w:r w:rsidR="00390F9D" w:rsidRPr="00FD32EC">
        <w:rPr>
          <w:noProof/>
          <w:lang w:val="sr-Latn-CS"/>
        </w:rPr>
        <w:t>радиоактивн</w:t>
      </w:r>
      <w:r w:rsidR="00390F9D" w:rsidRPr="00FD32EC">
        <w:rPr>
          <w:noProof/>
          <w:lang w:val="sr-Cyrl-RS"/>
        </w:rPr>
        <w:t>е</w:t>
      </w:r>
      <w:r w:rsidR="003566BD" w:rsidRPr="00FD32EC">
        <w:rPr>
          <w:noProof/>
          <w:lang w:val="sr-Latn-CS"/>
        </w:rPr>
        <w:t xml:space="preserve"> супстанц</w:t>
      </w:r>
      <w:r w:rsidR="00390F9D" w:rsidRPr="00FD32EC">
        <w:rPr>
          <w:noProof/>
          <w:lang w:val="sr-Cyrl-RS"/>
        </w:rPr>
        <w:t>е</w:t>
      </w:r>
      <w:r w:rsidR="009075CC" w:rsidRPr="00FD32EC">
        <w:rPr>
          <w:noProof/>
          <w:lang w:val="sr-Cyrl-RS"/>
        </w:rPr>
        <w:t xml:space="preserve"> </w:t>
      </w:r>
      <w:r w:rsidR="003566BD" w:rsidRPr="00FD32EC">
        <w:rPr>
          <w:noProof/>
          <w:lang w:val="sr-Latn-CS"/>
        </w:rPr>
        <w:t xml:space="preserve">у води намењеној за </w:t>
      </w:r>
      <w:r w:rsidR="00747F25" w:rsidRPr="00FD32EC">
        <w:rPr>
          <w:noProof/>
          <w:lang w:val="sr-Cyrl-RS"/>
        </w:rPr>
        <w:t>пиће</w:t>
      </w:r>
      <w:r w:rsidR="003566BD" w:rsidRPr="00FD32EC">
        <w:rPr>
          <w:noProof/>
          <w:lang w:val="sr-Latn-CS"/>
        </w:rPr>
        <w:t xml:space="preserve"> изнад које </w:t>
      </w:r>
      <w:r w:rsidR="00390F9D" w:rsidRPr="00FD32EC">
        <w:rPr>
          <w:noProof/>
          <w:lang w:val="sr-Cyrl-RS"/>
        </w:rPr>
        <w:t>се</w:t>
      </w:r>
      <w:r w:rsidR="003566BD" w:rsidRPr="00FD32EC">
        <w:rPr>
          <w:noProof/>
          <w:lang w:val="sr-Latn-CS"/>
        </w:rPr>
        <w:t xml:space="preserve"> процењуј</w:t>
      </w:r>
      <w:r w:rsidR="00390F9D" w:rsidRPr="00FD32EC">
        <w:rPr>
          <w:noProof/>
          <w:lang w:val="sr-Cyrl-RS"/>
        </w:rPr>
        <w:t>е</w:t>
      </w:r>
      <w:r w:rsidR="003566BD" w:rsidRPr="00FD32EC">
        <w:rPr>
          <w:noProof/>
          <w:lang w:val="sr-Latn-CS"/>
        </w:rPr>
        <w:t xml:space="preserve"> да ли присуство радиоактивн</w:t>
      </w:r>
      <w:r w:rsidR="00390F9D" w:rsidRPr="00FD32EC">
        <w:rPr>
          <w:noProof/>
          <w:lang w:val="sr-Cyrl-RS"/>
        </w:rPr>
        <w:t>е</w:t>
      </w:r>
      <w:r w:rsidR="003566BD" w:rsidRPr="00FD32EC">
        <w:rPr>
          <w:noProof/>
          <w:lang w:val="sr-Latn-CS"/>
        </w:rPr>
        <w:t xml:space="preserve"> супстанц</w:t>
      </w:r>
      <w:r w:rsidR="00390F9D" w:rsidRPr="00FD32EC">
        <w:rPr>
          <w:noProof/>
          <w:lang w:val="sr-Cyrl-RS"/>
        </w:rPr>
        <w:t>е</w:t>
      </w:r>
      <w:r w:rsidR="003566BD" w:rsidRPr="00FD32EC">
        <w:rPr>
          <w:noProof/>
          <w:lang w:val="sr-Latn-CS"/>
        </w:rPr>
        <w:t xml:space="preserve"> у води </w:t>
      </w:r>
      <w:r w:rsidR="00747F25" w:rsidRPr="00FD32EC">
        <w:rPr>
          <w:noProof/>
          <w:lang w:val="sr-Cyrl-RS"/>
        </w:rPr>
        <w:t>за пиће</w:t>
      </w:r>
      <w:r w:rsidR="003566BD" w:rsidRPr="00FD32EC">
        <w:rPr>
          <w:noProof/>
          <w:lang w:val="sr-Latn-CS"/>
        </w:rPr>
        <w:t xml:space="preserve"> представља ризик за здравље људи</w:t>
      </w:r>
      <w:r w:rsidR="003566BD" w:rsidRPr="00FD32EC">
        <w:rPr>
          <w:noProof/>
          <w:lang w:val="sr-Cyrl-RS"/>
        </w:rPr>
        <w:t xml:space="preserve"> који захтева </w:t>
      </w:r>
      <w:r w:rsidR="00390F9D" w:rsidRPr="00FD32EC">
        <w:rPr>
          <w:noProof/>
          <w:lang w:val="sr-Cyrl-RS"/>
        </w:rPr>
        <w:t>примену мера заштите</w:t>
      </w:r>
      <w:r w:rsidR="003566BD" w:rsidRPr="00FD32EC">
        <w:rPr>
          <w:noProof/>
          <w:lang w:val="sr-Latn-CS"/>
        </w:rPr>
        <w:t xml:space="preserve"> и, по потреби, предузимају мере</w:t>
      </w:r>
      <w:r w:rsidR="003566BD" w:rsidRPr="00FD32EC">
        <w:rPr>
          <w:noProof/>
          <w:lang w:val="sr-Cyrl-RS"/>
        </w:rPr>
        <w:t xml:space="preserve"> санације</w:t>
      </w:r>
      <w:r w:rsidR="003566BD" w:rsidRPr="00FD32EC">
        <w:rPr>
          <w:noProof/>
          <w:lang w:val="sr-Latn-CS"/>
        </w:rPr>
        <w:t xml:space="preserve"> за унапређење квалитета воде до нивоа који је у складу са за</w:t>
      </w:r>
      <w:r w:rsidR="00BC3A28" w:rsidRPr="00FD32EC">
        <w:rPr>
          <w:noProof/>
          <w:lang w:val="sr-Cyrl-RS"/>
        </w:rPr>
        <w:t>х</w:t>
      </w:r>
      <w:r w:rsidR="003566BD" w:rsidRPr="00FD32EC">
        <w:rPr>
          <w:noProof/>
          <w:lang w:val="sr-Latn-CS"/>
        </w:rPr>
        <w:t>тевима за заштиту здравља људи са становишта заштите од зрачења.</w:t>
      </w:r>
      <w:r w:rsidR="00A779F3" w:rsidRPr="00FD32EC">
        <w:rPr>
          <w:rFonts w:eastAsia="Times New Roman"/>
          <w:lang w:val="sr-Cyrl-RS" w:eastAsia="sr-Latn-RS"/>
        </w:rPr>
        <w:t xml:space="preserve"> </w:t>
      </w:r>
    </w:p>
    <w:p w14:paraId="0D25C52A" w14:textId="4C6F8DD2" w:rsidR="00A779F3" w:rsidRPr="00FD32EC" w:rsidRDefault="0087565E" w:rsidP="0054763C">
      <w:pPr>
        <w:spacing w:after="120"/>
        <w:rPr>
          <w:rFonts w:eastAsia="Times New Roman"/>
          <w:lang w:eastAsia="sr-Latn-RS"/>
        </w:rPr>
      </w:pPr>
      <w:r w:rsidRPr="00FD32EC">
        <w:rPr>
          <w:rFonts w:eastAsia="Times New Roman"/>
          <w:lang w:val="sr-Cyrl-RS" w:eastAsia="sr-Latn-RS"/>
        </w:rPr>
        <w:t>7</w:t>
      </w:r>
      <w:r w:rsidR="00A779F3" w:rsidRPr="00FD32EC">
        <w:rPr>
          <w:rFonts w:eastAsia="Times New Roman"/>
          <w:lang w:eastAsia="sr-Latn-RS"/>
        </w:rPr>
        <w:t xml:space="preserve">. </w:t>
      </w:r>
      <w:proofErr w:type="spellStart"/>
      <w:r w:rsidR="00A779F3" w:rsidRPr="00FD32EC">
        <w:rPr>
          <w:rFonts w:eastAsia="Times New Roman"/>
          <w:i/>
          <w:iCs/>
          <w:lang w:eastAsia="sr-Latn-RS"/>
        </w:rPr>
        <w:t>Предмети</w:t>
      </w:r>
      <w:proofErr w:type="spellEnd"/>
      <w:r w:rsidR="00A779F3" w:rsidRPr="00FD32EC">
        <w:rPr>
          <w:rFonts w:eastAsia="Times New Roman"/>
          <w:i/>
          <w:iCs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i/>
          <w:iCs/>
          <w:lang w:eastAsia="sr-Latn-RS"/>
        </w:rPr>
        <w:t>опште</w:t>
      </w:r>
      <w:proofErr w:type="spellEnd"/>
      <w:r w:rsidR="00A779F3" w:rsidRPr="00FD32EC">
        <w:rPr>
          <w:rFonts w:eastAsia="Times New Roman"/>
          <w:i/>
          <w:iCs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i/>
          <w:iCs/>
          <w:lang w:eastAsia="sr-Latn-RS"/>
        </w:rPr>
        <w:t>употребе</w:t>
      </w:r>
      <w:proofErr w:type="spellEnd"/>
      <w:r w:rsidR="00A779F3" w:rsidRPr="00FD32EC">
        <w:rPr>
          <w:rFonts w:eastAsia="Times New Roman"/>
          <w:lang w:eastAsia="sr-Latn-RS"/>
        </w:rPr>
        <w:t xml:space="preserve"> у </w:t>
      </w:r>
      <w:proofErr w:type="spellStart"/>
      <w:r w:rsidR="00A779F3" w:rsidRPr="00FD32EC">
        <w:rPr>
          <w:rFonts w:eastAsia="Times New Roman"/>
          <w:lang w:eastAsia="sr-Latn-RS"/>
        </w:rPr>
        <w:t>смислу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овог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правилника</w:t>
      </w:r>
      <w:proofErr w:type="spellEnd"/>
      <w:r w:rsidR="00A779F3" w:rsidRPr="00FD32EC">
        <w:rPr>
          <w:rFonts w:eastAsia="Times New Roman"/>
          <w:lang w:eastAsia="sr-Latn-RS"/>
        </w:rPr>
        <w:t xml:space="preserve"> </w:t>
      </w:r>
      <w:proofErr w:type="spellStart"/>
      <w:r w:rsidR="00A779F3" w:rsidRPr="00FD32EC">
        <w:rPr>
          <w:rFonts w:eastAsia="Times New Roman"/>
          <w:lang w:eastAsia="sr-Latn-RS"/>
        </w:rPr>
        <w:t>јесу</w:t>
      </w:r>
      <w:proofErr w:type="spellEnd"/>
      <w:r w:rsidR="00A779F3" w:rsidRPr="00FD32EC">
        <w:rPr>
          <w:rFonts w:eastAsia="Times New Roman"/>
          <w:lang w:eastAsia="sr-Latn-RS"/>
        </w:rPr>
        <w:t>:</w:t>
      </w:r>
    </w:p>
    <w:p w14:paraId="7D09A47C" w14:textId="77777777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1) </w:t>
      </w:r>
      <w:proofErr w:type="spellStart"/>
      <w:r w:rsidRPr="00FD32EC">
        <w:rPr>
          <w:rFonts w:eastAsia="Times New Roman"/>
          <w:lang w:eastAsia="sr-Latn-RS"/>
        </w:rPr>
        <w:t>посуђе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прибор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постројења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уређаји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амбалажа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намирнице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75F82D24" w14:textId="434A3E2C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2) </w:t>
      </w:r>
      <w:proofErr w:type="spellStart"/>
      <w:r w:rsidRPr="00FD32EC">
        <w:rPr>
          <w:rFonts w:eastAsia="Times New Roman"/>
          <w:lang w:eastAsia="sr-Latn-RS"/>
        </w:rPr>
        <w:t>играчке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4CE8C745" w14:textId="77777777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3) </w:t>
      </w:r>
      <w:proofErr w:type="spellStart"/>
      <w:r w:rsidRPr="00FD32EC">
        <w:rPr>
          <w:rFonts w:eastAsia="Times New Roman"/>
          <w:lang w:eastAsia="sr-Latn-RS"/>
        </w:rPr>
        <w:t>средства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одржавање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личне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хигијене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негу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улепшавање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лица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тела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амбалажа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средства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19319263" w14:textId="77777777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4) </w:t>
      </w:r>
      <w:proofErr w:type="spellStart"/>
      <w:r w:rsidRPr="00FD32EC">
        <w:rPr>
          <w:rFonts w:eastAsia="Times New Roman"/>
          <w:lang w:eastAsia="sr-Latn-RS"/>
        </w:rPr>
        <w:t>средства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одржавање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чистоће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1DC99E28" w14:textId="77777777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5) </w:t>
      </w:r>
      <w:proofErr w:type="spellStart"/>
      <w:r w:rsidRPr="00FD32EC">
        <w:rPr>
          <w:rFonts w:eastAsia="Times New Roman"/>
          <w:lang w:eastAsia="sr-Latn-RS"/>
        </w:rPr>
        <w:t>дуван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дуванске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прерађевине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прибор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пушење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5AC5353A" w14:textId="123FEFA9" w:rsidR="00A779F3" w:rsidRPr="00FD32EC" w:rsidRDefault="00A779F3" w:rsidP="0054763C">
      <w:pPr>
        <w:spacing w:after="120"/>
        <w:ind w:left="992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6) </w:t>
      </w:r>
      <w:proofErr w:type="spellStart"/>
      <w:r w:rsidRPr="00FD32EC">
        <w:rPr>
          <w:rFonts w:eastAsia="Times New Roman"/>
          <w:lang w:eastAsia="sr-Latn-RS"/>
        </w:rPr>
        <w:t>одређени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предмети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употреби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долазе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непосредан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додир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кожом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или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слузницом</w:t>
      </w:r>
      <w:proofErr w:type="spellEnd"/>
      <w:r w:rsidRPr="00FD32EC">
        <w:rPr>
          <w:rFonts w:eastAsia="Times New Roman"/>
          <w:lang w:eastAsia="sr-Latn-RS"/>
        </w:rPr>
        <w:t>.</w:t>
      </w:r>
    </w:p>
    <w:p w14:paraId="429A9471" w14:textId="21849176" w:rsidR="0092062F" w:rsidRPr="00FD32EC" w:rsidRDefault="0087565E" w:rsidP="0054763C">
      <w:pPr>
        <w:spacing w:after="120"/>
        <w:jc w:val="both"/>
        <w:rPr>
          <w:noProof/>
          <w:lang w:val="sr-Cyrl-RS"/>
        </w:rPr>
      </w:pPr>
      <w:r w:rsidRPr="00FD32EC">
        <w:rPr>
          <w:noProof/>
          <w:lang w:val="sr-Cyrl-RS"/>
        </w:rPr>
        <w:t>8</w:t>
      </w:r>
      <w:r w:rsidR="009B2600" w:rsidRPr="00FD32EC">
        <w:rPr>
          <w:noProof/>
          <w:lang w:val="sr-Cyrl-RS"/>
        </w:rPr>
        <w:t>.</w:t>
      </w:r>
      <w:r w:rsidR="000932B5" w:rsidRPr="00FD32EC">
        <w:rPr>
          <w:noProof/>
        </w:rPr>
        <w:t xml:space="preserve"> </w:t>
      </w:r>
      <w:r w:rsidR="00995C65" w:rsidRPr="00FD32EC">
        <w:rPr>
          <w:i/>
          <w:noProof/>
          <w:lang w:val="sr-Cyrl-RS"/>
        </w:rPr>
        <w:t>Храна за животиње</w:t>
      </w:r>
      <w:r w:rsidR="0092062F" w:rsidRPr="00FD32EC">
        <w:rPr>
          <w:noProof/>
          <w:lang w:val="sr-Cyrl-RS"/>
        </w:rPr>
        <w:t xml:space="preserve"> јесте свака супстанца или производ, прерађена, делимично прерађена или непрерађена, а намењена је за исхрану животиња које служе за производњу хране.</w:t>
      </w:r>
    </w:p>
    <w:p w14:paraId="3F3D9C8D" w14:textId="5ADD4615" w:rsidR="00A74AD4" w:rsidRPr="00FD32EC" w:rsidRDefault="0087565E" w:rsidP="0054763C">
      <w:pPr>
        <w:spacing w:after="120"/>
        <w:jc w:val="both"/>
        <w:rPr>
          <w:noProof/>
          <w:lang w:val="sr-Cyrl-RS"/>
        </w:rPr>
      </w:pPr>
      <w:r w:rsidRPr="00FD32EC">
        <w:rPr>
          <w:noProof/>
          <w:lang w:val="sr-Cyrl-RS"/>
        </w:rPr>
        <w:t>9</w:t>
      </w:r>
      <w:r w:rsidR="007F529C" w:rsidRPr="00FD32EC">
        <w:rPr>
          <w:noProof/>
          <w:lang w:val="sr-Cyrl-RS"/>
        </w:rPr>
        <w:t xml:space="preserve">. </w:t>
      </w:r>
      <w:r w:rsidR="007F529C" w:rsidRPr="00FD32EC">
        <w:rPr>
          <w:i/>
          <w:noProof/>
          <w:lang w:val="sr-Cyrl-RS"/>
        </w:rPr>
        <w:t>Редовни услови</w:t>
      </w:r>
      <w:r w:rsidR="007F529C" w:rsidRPr="00FD32EC">
        <w:rPr>
          <w:noProof/>
          <w:lang w:val="sr-Cyrl-RS"/>
        </w:rPr>
        <w:t xml:space="preserve"> јесу услови када није проглашена радиолошка ванредна ситуација и када се примењују захтеви за ситуацију планираног излагања или ситуацију постојећег излагања. </w:t>
      </w:r>
    </w:p>
    <w:p w14:paraId="0577372D" w14:textId="77777777" w:rsidR="00370B73" w:rsidRPr="00FD32EC" w:rsidRDefault="00370B73" w:rsidP="00370B73">
      <w:pPr>
        <w:jc w:val="both"/>
        <w:rPr>
          <w:bCs/>
          <w:noProof/>
          <w:lang w:val="sr-Cyrl-RS"/>
        </w:rPr>
      </w:pPr>
      <w:r w:rsidRPr="00FD32EC">
        <w:rPr>
          <w:bCs/>
          <w:noProof/>
          <w:lang w:val="sr-Cyrl-RS"/>
        </w:rPr>
        <w:t>Остали изрази који се користе у овом правилнику имају значења дефинисана у Закону о радијационој и нуклеарној сигурности и безбедности.</w:t>
      </w:r>
    </w:p>
    <w:p w14:paraId="39AB9D79" w14:textId="77777777" w:rsidR="00A74AD4" w:rsidRPr="00FD32EC" w:rsidRDefault="00A74AD4" w:rsidP="0054763C">
      <w:pPr>
        <w:spacing w:after="120"/>
        <w:jc w:val="both"/>
        <w:rPr>
          <w:noProof/>
          <w:lang w:val="sr-Cyrl-RS"/>
        </w:rPr>
      </w:pPr>
    </w:p>
    <w:p w14:paraId="3B5A9160" w14:textId="778DF1B2" w:rsidR="004107A7" w:rsidRPr="00FD32EC" w:rsidRDefault="0054763C" w:rsidP="0054763C">
      <w:pPr>
        <w:spacing w:after="120"/>
        <w:jc w:val="center"/>
        <w:rPr>
          <w:rStyle w:val="jlqj4b"/>
          <w:rFonts w:eastAsia="Calibri"/>
          <w:szCs w:val="22"/>
          <w:lang w:val="sr-Cyrl-RS"/>
        </w:rPr>
      </w:pPr>
      <w:bookmarkStart w:id="2" w:name="clan_4"/>
      <w:bookmarkEnd w:id="2"/>
      <w:r w:rsidRPr="00FD32EC">
        <w:rPr>
          <w:rStyle w:val="jlqj4b"/>
          <w:rFonts w:eastAsia="Calibri"/>
          <w:szCs w:val="22"/>
          <w:lang w:val="en-US"/>
        </w:rPr>
        <w:t>I</w:t>
      </w:r>
      <w:r w:rsidRPr="00FD32EC">
        <w:rPr>
          <w:rStyle w:val="jlqj4b"/>
          <w:lang w:val="sr-Cyrl-RS"/>
        </w:rPr>
        <w:t xml:space="preserve"> </w:t>
      </w:r>
      <w:r w:rsidR="004107A7" w:rsidRPr="00FD32EC">
        <w:rPr>
          <w:rStyle w:val="jlqj4b"/>
          <w:rFonts w:eastAsia="Calibri"/>
          <w:szCs w:val="22"/>
          <w:lang w:val="sr-Cyrl-RS"/>
        </w:rPr>
        <w:t xml:space="preserve">ТЕХНИЧКИ ЗАХТЕВИ ЗА </w:t>
      </w:r>
      <w:r w:rsidR="00B86A52" w:rsidRPr="00FD32EC">
        <w:rPr>
          <w:rStyle w:val="jlqj4b"/>
          <w:rFonts w:eastAsia="Calibri"/>
          <w:szCs w:val="22"/>
          <w:lang w:val="sr-Cyrl-RS"/>
        </w:rPr>
        <w:t>ОДРЕЂИВАЊЕ</w:t>
      </w:r>
      <w:r w:rsidR="004107A7" w:rsidRPr="00FD32EC">
        <w:rPr>
          <w:rStyle w:val="jlqj4b"/>
          <w:rFonts w:eastAsia="Calibri"/>
          <w:szCs w:val="22"/>
          <w:lang w:val="sr-Cyrl-RS"/>
        </w:rPr>
        <w:t xml:space="preserve"> САДРЖАЈА РАДИОНУКЛИДА</w:t>
      </w:r>
    </w:p>
    <w:p w14:paraId="1C87D290" w14:textId="77777777" w:rsidR="004107A7" w:rsidRPr="00FD32EC" w:rsidRDefault="004107A7" w:rsidP="0054763C">
      <w:pPr>
        <w:spacing w:after="120"/>
        <w:jc w:val="center"/>
        <w:rPr>
          <w:lang w:val="sr-Cyrl-RS"/>
        </w:rPr>
      </w:pPr>
      <w:r w:rsidRPr="00FD32EC">
        <w:rPr>
          <w:lang w:val="sr-Cyrl-RS"/>
        </w:rPr>
        <w:t>Методе одређивања садржаја радионуклида</w:t>
      </w:r>
    </w:p>
    <w:p w14:paraId="21A5AB1E" w14:textId="77777777" w:rsidR="004107A7" w:rsidRPr="00FD32EC" w:rsidRDefault="004107A7" w:rsidP="0054763C">
      <w:pPr>
        <w:spacing w:after="120"/>
        <w:jc w:val="center"/>
        <w:rPr>
          <w:lang w:val="sr-Cyrl-RS"/>
        </w:rPr>
      </w:pPr>
      <w:r w:rsidRPr="00FD32EC">
        <w:rPr>
          <w:lang w:val="sr-Cyrl-RS"/>
        </w:rPr>
        <w:t>Члан 3.</w:t>
      </w:r>
    </w:p>
    <w:p w14:paraId="36BFFE0D" w14:textId="77777777" w:rsidR="00237FFA" w:rsidRPr="00FD32EC" w:rsidRDefault="00237FFA" w:rsidP="0054763C">
      <w:pPr>
        <w:spacing w:after="120"/>
        <w:jc w:val="both"/>
        <w:rPr>
          <w:lang w:val="sr-Cyrl-RS"/>
        </w:rPr>
      </w:pPr>
    </w:p>
    <w:p w14:paraId="7797F447" w14:textId="56CAAFA9" w:rsidR="00237FFA" w:rsidRPr="00FD32EC" w:rsidRDefault="00237FFA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lastRenderedPageBreak/>
        <w:t xml:space="preserve">Испитивање </w:t>
      </w:r>
      <w:proofErr w:type="spellStart"/>
      <w:r w:rsidRPr="00FD32EC">
        <w:t>кој</w:t>
      </w:r>
      <w:proofErr w:type="spellEnd"/>
      <w:r w:rsidRPr="00FD32EC">
        <w:rPr>
          <w:lang w:val="sr-Cyrl-RS"/>
        </w:rPr>
        <w:t xml:space="preserve">е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врш</w:t>
      </w:r>
      <w:proofErr w:type="spellEnd"/>
      <w:r w:rsidRPr="00FD32EC">
        <w:rPr>
          <w:lang w:val="sr-Cyrl-RS"/>
        </w:rPr>
        <w:t>и</w:t>
      </w:r>
      <w:r w:rsidRPr="00FD32EC">
        <w:t xml:space="preserve"> </w:t>
      </w:r>
      <w:r w:rsidRPr="00FD32EC">
        <w:rPr>
          <w:lang w:val="sr-Cyrl-RS"/>
        </w:rPr>
        <w:t>у сврху одређивања садржаја радионуклида мора да обе</w:t>
      </w:r>
      <w:r w:rsidR="00B93A47" w:rsidRPr="00FD32EC">
        <w:rPr>
          <w:lang w:val="sr-Cyrl-RS"/>
        </w:rPr>
        <w:t>збеди</w:t>
      </w:r>
      <w:r w:rsidRPr="00FD32EC">
        <w:t xml:space="preserve"> </w:t>
      </w:r>
      <w:proofErr w:type="spellStart"/>
      <w:r w:rsidRPr="00FD32EC">
        <w:t>идентификацију</w:t>
      </w:r>
      <w:proofErr w:type="spellEnd"/>
      <w:r w:rsidRPr="00FD32EC">
        <w:t xml:space="preserve"> и </w:t>
      </w:r>
      <w:proofErr w:type="spellStart"/>
      <w:r w:rsidRPr="00FD32EC">
        <w:t>квантификацију</w:t>
      </w:r>
      <w:proofErr w:type="spellEnd"/>
      <w:r w:rsidRPr="00FD32EC">
        <w:t xml:space="preserve"> радионуклида</w:t>
      </w:r>
      <w:r w:rsidRPr="00FD32EC">
        <w:rPr>
          <w:lang w:val="sr-Cyrl-RS"/>
        </w:rPr>
        <w:t xml:space="preserve"> тако да </w:t>
      </w:r>
      <w:r w:rsidR="00B93A47" w:rsidRPr="00FD32EC">
        <w:rPr>
          <w:lang w:val="sr-Cyrl-RS"/>
        </w:rPr>
        <w:t>је могућа</w:t>
      </w:r>
      <w:r w:rsidRPr="00FD32EC">
        <w:t xml:space="preserve"> </w:t>
      </w:r>
      <w:proofErr w:type="spellStart"/>
      <w:r w:rsidRPr="00FD32EC">
        <w:t>контрол</w:t>
      </w:r>
      <w:proofErr w:type="spellEnd"/>
      <w:r w:rsidR="00B93A47" w:rsidRPr="00FD32EC">
        <w:rPr>
          <w:lang w:val="sr-Cyrl-RS"/>
        </w:rPr>
        <w:t>а</w:t>
      </w:r>
      <w:r w:rsidRPr="00FD32EC">
        <w:t xml:space="preserve"> </w:t>
      </w:r>
      <w:proofErr w:type="spellStart"/>
      <w:r w:rsidRPr="00FD32EC">
        <w:t>усклађености</w:t>
      </w:r>
      <w:proofErr w:type="spellEnd"/>
      <w:r w:rsidRPr="00FD32EC">
        <w:t xml:space="preserve"> </w:t>
      </w:r>
      <w:proofErr w:type="spellStart"/>
      <w:r w:rsidRPr="00FD32EC">
        <w:t>са</w:t>
      </w:r>
      <w:proofErr w:type="spellEnd"/>
      <w:r w:rsidRPr="00FD32EC">
        <w:t xml:space="preserve"> </w:t>
      </w:r>
      <w:proofErr w:type="spellStart"/>
      <w:r w:rsidRPr="00FD32EC">
        <w:t>нивоима</w:t>
      </w:r>
      <w:proofErr w:type="spellEnd"/>
      <w:r w:rsidRPr="00FD32EC">
        <w:t xml:space="preserve"> </w:t>
      </w:r>
      <w:proofErr w:type="spellStart"/>
      <w:r w:rsidRPr="00FD32EC">
        <w:t>утврђеним</w:t>
      </w:r>
      <w:proofErr w:type="spellEnd"/>
      <w:r w:rsidRPr="00FD32EC">
        <w:t xml:space="preserve"> </w:t>
      </w:r>
      <w:r w:rsidRPr="00FD32EC">
        <w:rPr>
          <w:lang w:val="sr-Cyrl-RS"/>
        </w:rPr>
        <w:t>овим п</w:t>
      </w:r>
      <w:proofErr w:type="spellStart"/>
      <w:r w:rsidRPr="00FD32EC">
        <w:t>равилником</w:t>
      </w:r>
      <w:proofErr w:type="spellEnd"/>
      <w:r w:rsidR="00B93A47" w:rsidRPr="00FD32EC">
        <w:rPr>
          <w:lang w:val="sr-Cyrl-RS"/>
        </w:rPr>
        <w:t>.</w:t>
      </w:r>
    </w:p>
    <w:p w14:paraId="6BA25857" w14:textId="1B833E68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 xml:space="preserve">Садржај радионуклида у производима и роби намењеним становништву, животињама и производима и другој роби намењеним за употребу у радној и животној средини одређује се </w:t>
      </w:r>
      <w:proofErr w:type="spellStart"/>
      <w:r w:rsidRPr="00FD32EC">
        <w:rPr>
          <w:lang w:val="sr-Cyrl-RS"/>
        </w:rPr>
        <w:t>гамаспекртометријском</w:t>
      </w:r>
      <w:proofErr w:type="spellEnd"/>
      <w:r w:rsidRPr="00FD32EC">
        <w:rPr>
          <w:lang w:val="sr-Cyrl-RS"/>
        </w:rPr>
        <w:t xml:space="preserve"> методом за </w:t>
      </w:r>
      <w:proofErr w:type="spellStart"/>
      <w:r w:rsidRPr="00FD32EC">
        <w:rPr>
          <w:lang w:val="sr-Cyrl-RS"/>
        </w:rPr>
        <w:t>радионуклиде</w:t>
      </w:r>
      <w:proofErr w:type="spellEnd"/>
      <w:r w:rsidRPr="00FD32EC">
        <w:rPr>
          <w:lang w:val="sr-Cyrl-RS"/>
        </w:rPr>
        <w:t xml:space="preserve"> емитере гама зрачења и другим специфичним методама за </w:t>
      </w:r>
      <w:proofErr w:type="spellStart"/>
      <w:r w:rsidRPr="00FD32EC">
        <w:rPr>
          <w:lang w:val="sr-Cyrl-RS"/>
        </w:rPr>
        <w:t>радионуклиде</w:t>
      </w:r>
      <w:proofErr w:type="spellEnd"/>
      <w:r w:rsidRPr="00FD32EC">
        <w:rPr>
          <w:lang w:val="sr-Cyrl-RS"/>
        </w:rPr>
        <w:t xml:space="preserve"> емитере алфа и бета зрачења.</w:t>
      </w:r>
    </w:p>
    <w:p w14:paraId="4E23F585" w14:textId="5C118243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 xml:space="preserve">Садржај радионуклида одређују правна лица овлашћена </w:t>
      </w:r>
      <w:r w:rsidR="00740FF0" w:rsidRPr="00FD32EC">
        <w:rPr>
          <w:lang w:val="sr-Cyrl-RS"/>
        </w:rPr>
        <w:t xml:space="preserve">од стране </w:t>
      </w:r>
      <w:proofErr w:type="spellStart"/>
      <w:r w:rsidR="00740FF0" w:rsidRPr="00FD32EC">
        <w:rPr>
          <w:lang w:val="sr-Cyrl-RS"/>
        </w:rPr>
        <w:t>Директората</w:t>
      </w:r>
      <w:proofErr w:type="spellEnd"/>
      <w:r w:rsidR="00740FF0" w:rsidRPr="00FD32EC">
        <w:rPr>
          <w:lang w:val="sr-Cyrl-RS"/>
        </w:rPr>
        <w:t xml:space="preserve"> </w:t>
      </w:r>
      <w:r w:rsidRPr="00FD32EC">
        <w:rPr>
          <w:lang w:val="sr-Cyrl-RS"/>
        </w:rPr>
        <w:t xml:space="preserve">за </w:t>
      </w:r>
      <w:r w:rsidR="00284803" w:rsidRPr="00FD32EC">
        <w:rPr>
          <w:lang w:val="sr-Cyrl-RS"/>
        </w:rPr>
        <w:t xml:space="preserve">вршење послова заштите од </w:t>
      </w:r>
      <w:r w:rsidR="00FD32EC">
        <w:rPr>
          <w:lang w:val="sr-Cyrl-RS"/>
        </w:rPr>
        <w:t xml:space="preserve">јонизујућег </w:t>
      </w:r>
      <w:r w:rsidR="00284803" w:rsidRPr="00FD32EC">
        <w:rPr>
          <w:lang w:val="sr-Cyrl-RS"/>
        </w:rPr>
        <w:t xml:space="preserve">зрачења </w:t>
      </w:r>
      <w:r w:rsidR="00740FF0" w:rsidRPr="00FD32EC">
        <w:rPr>
          <w:lang w:val="sr-Cyrl-RS"/>
        </w:rPr>
        <w:t xml:space="preserve">и то </w:t>
      </w:r>
      <w:r w:rsidRPr="00FD32EC">
        <w:rPr>
          <w:lang w:val="sr-Cyrl-RS"/>
        </w:rPr>
        <w:t>мониторинг</w:t>
      </w:r>
      <w:r w:rsidR="00740FF0" w:rsidRPr="00FD32EC">
        <w:rPr>
          <w:lang w:val="sr-Cyrl-RS"/>
        </w:rPr>
        <w:t xml:space="preserve"> </w:t>
      </w:r>
      <w:r w:rsidR="00284803" w:rsidRPr="00FD32EC">
        <w:rPr>
          <w:lang w:val="sr-Cyrl-RS"/>
        </w:rPr>
        <w:t>радиоактивности или</w:t>
      </w:r>
      <w:r w:rsidRPr="00FD32EC">
        <w:rPr>
          <w:lang w:val="sr-Cyrl-RS"/>
        </w:rPr>
        <w:t xml:space="preserve"> поједина испитивања у оквиру мониторинга.</w:t>
      </w:r>
    </w:p>
    <w:p w14:paraId="548EC928" w14:textId="77777777" w:rsidR="004107A7" w:rsidRPr="00FD32EC" w:rsidRDefault="004107A7" w:rsidP="0054763C">
      <w:pPr>
        <w:spacing w:after="120"/>
        <w:rPr>
          <w:lang w:val="sr-Cyrl-RS"/>
        </w:rPr>
      </w:pPr>
    </w:p>
    <w:p w14:paraId="54B4F95D" w14:textId="77777777" w:rsidR="004107A7" w:rsidRPr="00FD32EC" w:rsidRDefault="004107A7" w:rsidP="0054763C">
      <w:pPr>
        <w:spacing w:after="120"/>
        <w:jc w:val="center"/>
        <w:rPr>
          <w:lang w:val="sr-Cyrl-RS"/>
        </w:rPr>
      </w:pPr>
      <w:proofErr w:type="spellStart"/>
      <w:r w:rsidRPr="00FD32EC">
        <w:rPr>
          <w:lang w:val="sr-Cyrl-RS"/>
        </w:rPr>
        <w:t>Узорковање</w:t>
      </w:r>
      <w:proofErr w:type="spellEnd"/>
    </w:p>
    <w:p w14:paraId="3DCF4EF6" w14:textId="1E740B9F" w:rsidR="004107A7" w:rsidRPr="00FD32EC" w:rsidRDefault="004107A7" w:rsidP="0054763C">
      <w:pPr>
        <w:spacing w:after="120"/>
        <w:jc w:val="center"/>
        <w:rPr>
          <w:i/>
          <w:lang w:val="sr-Cyrl-RS"/>
        </w:rPr>
      </w:pPr>
      <w:r w:rsidRPr="00FD32EC">
        <w:rPr>
          <w:lang w:val="sr-Cyrl-RS"/>
        </w:rPr>
        <w:t xml:space="preserve">Члан </w:t>
      </w:r>
      <w:r w:rsidR="00F05DAF" w:rsidRPr="00FD32EC">
        <w:rPr>
          <w:lang w:val="sr-Cyrl-RS"/>
        </w:rPr>
        <w:t>4</w:t>
      </w:r>
      <w:r w:rsidR="0054763C" w:rsidRPr="00FD32EC">
        <w:rPr>
          <w:lang w:val="sr-Cyrl-RS"/>
        </w:rPr>
        <w:t>.</w:t>
      </w:r>
    </w:p>
    <w:p w14:paraId="5514F59A" w14:textId="5858B0B2" w:rsidR="004107A7" w:rsidRPr="00FD32EC" w:rsidRDefault="004107A7" w:rsidP="0054763C">
      <w:pPr>
        <w:spacing w:after="120"/>
        <w:jc w:val="both"/>
      </w:pPr>
      <w:proofErr w:type="spellStart"/>
      <w:r w:rsidRPr="00FD32EC">
        <w:t>Технике</w:t>
      </w:r>
      <w:proofErr w:type="spellEnd"/>
      <w:r w:rsidRPr="00FD32EC">
        <w:t xml:space="preserve"> </w:t>
      </w:r>
      <w:proofErr w:type="spellStart"/>
      <w:r w:rsidRPr="00FD32EC">
        <w:t>узорковања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бирају</w:t>
      </w:r>
      <w:proofErr w:type="spellEnd"/>
      <w:r w:rsidRPr="00FD32EC">
        <w:t xml:space="preserve"> </w:t>
      </w:r>
      <w:proofErr w:type="spellStart"/>
      <w:r w:rsidRPr="00FD32EC">
        <w:t>на</w:t>
      </w:r>
      <w:proofErr w:type="spellEnd"/>
      <w:r w:rsidRPr="00FD32EC">
        <w:t xml:space="preserve"> </w:t>
      </w:r>
      <w:proofErr w:type="spellStart"/>
      <w:r w:rsidRPr="00FD32EC">
        <w:t>основу</w:t>
      </w:r>
      <w:proofErr w:type="spellEnd"/>
      <w:r w:rsidRPr="00FD32EC">
        <w:t xml:space="preserve"> </w:t>
      </w:r>
      <w:proofErr w:type="spellStart"/>
      <w:r w:rsidRPr="00FD32EC">
        <w:t>врсте</w:t>
      </w:r>
      <w:proofErr w:type="spellEnd"/>
      <w:r w:rsidRPr="00FD32EC">
        <w:t xml:space="preserve"> </w:t>
      </w:r>
      <w:r w:rsidR="00284803" w:rsidRPr="00FD32EC">
        <w:rPr>
          <w:lang w:val="sr-Cyrl-RS"/>
        </w:rPr>
        <w:t>испитивања</w:t>
      </w:r>
      <w:r w:rsidR="00284803" w:rsidRPr="00FD32EC">
        <w:t xml:space="preserve"> </w:t>
      </w:r>
      <w:proofErr w:type="spellStart"/>
      <w:r w:rsidRPr="00FD32EC">
        <w:t>кој</w:t>
      </w:r>
      <w:proofErr w:type="spellEnd"/>
      <w:r w:rsidR="00772EB2" w:rsidRPr="00FD32EC">
        <w:rPr>
          <w:lang w:val="sr-Cyrl-RS"/>
        </w:rPr>
        <w:t>е</w:t>
      </w:r>
      <w:r w:rsidRPr="00FD32EC">
        <w:t xml:space="preserve"> </w:t>
      </w:r>
      <w:proofErr w:type="spellStart"/>
      <w:r w:rsidRPr="00FD32EC">
        <w:t>треба</w:t>
      </w:r>
      <w:proofErr w:type="spellEnd"/>
      <w:r w:rsidRPr="00FD32EC">
        <w:t xml:space="preserve"> </w:t>
      </w:r>
      <w:proofErr w:type="spellStart"/>
      <w:r w:rsidRPr="00FD32EC">
        <w:t>да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изврши</w:t>
      </w:r>
      <w:proofErr w:type="spellEnd"/>
      <w:r w:rsidRPr="00FD32EC">
        <w:t xml:space="preserve">, радионуклида </w:t>
      </w:r>
      <w:proofErr w:type="spellStart"/>
      <w:r w:rsidRPr="00FD32EC">
        <w:t>које</w:t>
      </w:r>
      <w:proofErr w:type="spellEnd"/>
      <w:r w:rsidRPr="00FD32EC">
        <w:t xml:space="preserve"> </w:t>
      </w:r>
      <w:proofErr w:type="spellStart"/>
      <w:r w:rsidRPr="00FD32EC">
        <w:t>треба</w:t>
      </w:r>
      <w:proofErr w:type="spellEnd"/>
      <w:r w:rsidRPr="00FD32EC">
        <w:t xml:space="preserve"> </w:t>
      </w:r>
      <w:proofErr w:type="spellStart"/>
      <w:r w:rsidRPr="00FD32EC">
        <w:t>идентификовати</w:t>
      </w:r>
      <w:proofErr w:type="spellEnd"/>
      <w:r w:rsidRPr="00FD32EC">
        <w:t xml:space="preserve">, </w:t>
      </w:r>
      <w:proofErr w:type="spellStart"/>
      <w:r w:rsidRPr="00FD32EC">
        <w:t>вредности</w:t>
      </w:r>
      <w:proofErr w:type="spellEnd"/>
      <w:r w:rsidRPr="00FD32EC">
        <w:rPr>
          <w:lang w:val="sr-Cyrl-RS"/>
        </w:rPr>
        <w:t xml:space="preserve"> </w:t>
      </w:r>
      <w:r w:rsidR="00772EB2" w:rsidRPr="00FD32EC">
        <w:rPr>
          <w:lang w:val="sr-Cyrl-RS"/>
        </w:rPr>
        <w:t xml:space="preserve">нивоа </w:t>
      </w:r>
      <w:proofErr w:type="spellStart"/>
      <w:r w:rsidRPr="00FD32EC">
        <w:t>утврђен</w:t>
      </w:r>
      <w:proofErr w:type="spellEnd"/>
      <w:r w:rsidR="00772EB2" w:rsidRPr="00FD32EC">
        <w:rPr>
          <w:lang w:val="sr-Cyrl-RS"/>
        </w:rPr>
        <w:t>их</w:t>
      </w:r>
      <w:r w:rsidRPr="00FD32EC">
        <w:t xml:space="preserve"> </w:t>
      </w:r>
      <w:r w:rsidR="00772EB2" w:rsidRPr="00FD32EC">
        <w:rPr>
          <w:lang w:val="sr-Cyrl-RS"/>
        </w:rPr>
        <w:t xml:space="preserve">овим правилником </w:t>
      </w:r>
      <w:r w:rsidRPr="00FD32EC">
        <w:t xml:space="preserve">и </w:t>
      </w:r>
      <w:proofErr w:type="spellStart"/>
      <w:r w:rsidRPr="00FD32EC">
        <w:t>очекиваног</w:t>
      </w:r>
      <w:proofErr w:type="spellEnd"/>
      <w:r w:rsidRPr="00FD32EC">
        <w:t xml:space="preserve"> </w:t>
      </w:r>
      <w:proofErr w:type="spellStart"/>
      <w:r w:rsidRPr="00FD32EC">
        <w:t>садржаја</w:t>
      </w:r>
      <w:proofErr w:type="spellEnd"/>
      <w:r w:rsidRPr="00FD32EC">
        <w:t xml:space="preserve"> </w:t>
      </w:r>
      <w:r w:rsidR="00EC4D52">
        <w:rPr>
          <w:lang w:val="sr-Cyrl-RS"/>
        </w:rPr>
        <w:t>радионуклида у</w:t>
      </w:r>
      <w:r w:rsidRPr="00FD32EC">
        <w:t xml:space="preserve"> </w:t>
      </w:r>
      <w:r w:rsidR="00EC4D52">
        <w:rPr>
          <w:lang w:val="sr-Cyrl-RS"/>
        </w:rPr>
        <w:t xml:space="preserve">испитиваним </w:t>
      </w:r>
      <w:proofErr w:type="spellStart"/>
      <w:r w:rsidRPr="00FD32EC">
        <w:t>узор</w:t>
      </w:r>
      <w:proofErr w:type="spellEnd"/>
      <w:r w:rsidR="00EC4D52">
        <w:rPr>
          <w:lang w:val="sr-Cyrl-RS"/>
        </w:rPr>
        <w:t>цима</w:t>
      </w:r>
      <w:r w:rsidRPr="00FD32EC">
        <w:t>.</w:t>
      </w:r>
    </w:p>
    <w:p w14:paraId="201F04AA" w14:textId="05803A64" w:rsidR="004107A7" w:rsidRPr="00FD32EC" w:rsidRDefault="00090F75" w:rsidP="0054763C">
      <w:pPr>
        <w:spacing w:after="120"/>
        <w:jc w:val="both"/>
      </w:pPr>
      <w:r w:rsidRPr="00FD32EC">
        <w:rPr>
          <w:lang w:val="sr-Cyrl-RS"/>
        </w:rPr>
        <w:t xml:space="preserve">Технике </w:t>
      </w:r>
      <w:proofErr w:type="spellStart"/>
      <w:r w:rsidRPr="00FD32EC">
        <w:rPr>
          <w:lang w:val="sr-Cyrl-RS"/>
        </w:rPr>
        <w:t>узорковања</w:t>
      </w:r>
      <w:proofErr w:type="spellEnd"/>
      <w:r w:rsidRPr="00FD32EC">
        <w:rPr>
          <w:lang w:val="sr-Cyrl-RS"/>
        </w:rPr>
        <w:t xml:space="preserve"> бирају се тако да о</w:t>
      </w:r>
      <w:r w:rsidR="00370B73" w:rsidRPr="00FD32EC">
        <w:rPr>
          <w:lang w:val="sr-Cyrl-RS"/>
        </w:rPr>
        <w:t>безбе</w:t>
      </w:r>
      <w:r w:rsidRPr="00FD32EC">
        <w:rPr>
          <w:lang w:val="sr-Cyrl-RS"/>
        </w:rPr>
        <w:t>де</w:t>
      </w:r>
      <w:r w:rsidR="004107A7" w:rsidRPr="00FD32EC">
        <w:t xml:space="preserve"> </w:t>
      </w:r>
      <w:proofErr w:type="spellStart"/>
      <w:r w:rsidR="004107A7" w:rsidRPr="00FD32EC">
        <w:t>репрезентативно</w:t>
      </w:r>
      <w:proofErr w:type="spellEnd"/>
      <w:r w:rsidR="004107A7" w:rsidRPr="00FD32EC">
        <w:t xml:space="preserve"> </w:t>
      </w:r>
      <w:proofErr w:type="spellStart"/>
      <w:r w:rsidR="004107A7" w:rsidRPr="00FD32EC">
        <w:t>узорковање</w:t>
      </w:r>
      <w:proofErr w:type="spellEnd"/>
      <w:r w:rsidR="004107A7" w:rsidRPr="00FD32EC">
        <w:t xml:space="preserve"> </w:t>
      </w:r>
      <w:proofErr w:type="spellStart"/>
      <w:r w:rsidR="004107A7" w:rsidRPr="00FD32EC">
        <w:t>сваке</w:t>
      </w:r>
      <w:proofErr w:type="spellEnd"/>
      <w:r w:rsidR="004107A7" w:rsidRPr="00FD32EC">
        <w:t xml:space="preserve"> </w:t>
      </w:r>
      <w:proofErr w:type="spellStart"/>
      <w:r w:rsidR="004107A7" w:rsidRPr="00FD32EC">
        <w:t>серије</w:t>
      </w:r>
      <w:proofErr w:type="spellEnd"/>
      <w:r w:rsidR="004107A7" w:rsidRPr="00FD32EC">
        <w:t xml:space="preserve"> </w:t>
      </w:r>
      <w:proofErr w:type="spellStart"/>
      <w:r w:rsidR="004107A7" w:rsidRPr="00FD32EC">
        <w:t>производа</w:t>
      </w:r>
      <w:proofErr w:type="spellEnd"/>
      <w:r w:rsidR="004107A7" w:rsidRPr="00FD32EC">
        <w:t xml:space="preserve"> </w:t>
      </w:r>
      <w:proofErr w:type="spellStart"/>
      <w:r w:rsidR="004107A7" w:rsidRPr="00FD32EC">
        <w:t>или</w:t>
      </w:r>
      <w:proofErr w:type="spellEnd"/>
      <w:r w:rsidR="004107A7" w:rsidRPr="00FD32EC">
        <w:t xml:space="preserve"> </w:t>
      </w:r>
      <w:proofErr w:type="spellStart"/>
      <w:r w:rsidR="004107A7" w:rsidRPr="00FD32EC">
        <w:t>робе</w:t>
      </w:r>
      <w:proofErr w:type="spellEnd"/>
      <w:r w:rsidR="004107A7" w:rsidRPr="00FD32EC">
        <w:t xml:space="preserve"> </w:t>
      </w:r>
      <w:proofErr w:type="spellStart"/>
      <w:r w:rsidR="004107A7" w:rsidRPr="00FD32EC">
        <w:t>која</w:t>
      </w:r>
      <w:proofErr w:type="spellEnd"/>
      <w:r w:rsidR="004107A7" w:rsidRPr="00FD32EC">
        <w:t xml:space="preserve"> </w:t>
      </w:r>
      <w:proofErr w:type="spellStart"/>
      <w:r w:rsidR="004107A7" w:rsidRPr="00FD32EC">
        <w:t>се</w:t>
      </w:r>
      <w:proofErr w:type="spellEnd"/>
      <w:r w:rsidR="004107A7" w:rsidRPr="00FD32EC">
        <w:t xml:space="preserve"> </w:t>
      </w:r>
      <w:proofErr w:type="spellStart"/>
      <w:r w:rsidR="004107A7" w:rsidRPr="00FD32EC">
        <w:t>контролише</w:t>
      </w:r>
      <w:proofErr w:type="spellEnd"/>
      <w:r w:rsidR="004107A7" w:rsidRPr="00FD32EC">
        <w:t>.</w:t>
      </w:r>
    </w:p>
    <w:p w14:paraId="6102C0ED" w14:textId="77777777" w:rsidR="004107A7" w:rsidRPr="00FD32EC" w:rsidRDefault="004107A7" w:rsidP="0054763C">
      <w:pPr>
        <w:spacing w:after="120"/>
        <w:jc w:val="both"/>
      </w:pPr>
      <w:proofErr w:type="spellStart"/>
      <w:r w:rsidRPr="00FD32EC">
        <w:rPr>
          <w:lang w:val="sr-Cyrl-RS"/>
        </w:rPr>
        <w:t>Узорковање</w:t>
      </w:r>
      <w:proofErr w:type="spellEnd"/>
      <w:r w:rsidRPr="00FD32EC">
        <w:rPr>
          <w:lang w:val="sr-Cyrl-RS"/>
        </w:rPr>
        <w:t xml:space="preserve"> </w:t>
      </w:r>
      <w:proofErr w:type="spellStart"/>
      <w:r w:rsidRPr="00FD32EC">
        <w:t>воде</w:t>
      </w:r>
      <w:proofErr w:type="spellEnd"/>
      <w:r w:rsidRPr="00FD32EC">
        <w:t xml:space="preserve"> </w:t>
      </w:r>
      <w:proofErr w:type="spellStart"/>
      <w:r w:rsidRPr="00FD32EC">
        <w:t>за</w:t>
      </w:r>
      <w:proofErr w:type="spellEnd"/>
      <w:r w:rsidRPr="00FD32EC">
        <w:t xml:space="preserve"> </w:t>
      </w:r>
      <w:proofErr w:type="spellStart"/>
      <w:r w:rsidRPr="00FD32EC">
        <w:t>пиће</w:t>
      </w:r>
      <w:proofErr w:type="spellEnd"/>
      <w:r w:rsidRPr="00FD32EC">
        <w:t xml:space="preserve"> </w:t>
      </w:r>
      <w:r w:rsidRPr="00FD32EC">
        <w:rPr>
          <w:lang w:val="sr-Cyrl-RS"/>
        </w:rPr>
        <w:t xml:space="preserve">у сврху контроле садржаја радионуклида </w:t>
      </w:r>
      <w:proofErr w:type="spellStart"/>
      <w:r w:rsidRPr="00FD32EC">
        <w:t>врши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у </w:t>
      </w:r>
      <w:proofErr w:type="spellStart"/>
      <w:r w:rsidRPr="00FD32EC">
        <w:t>следећим</w:t>
      </w:r>
      <w:proofErr w:type="spellEnd"/>
      <w:r w:rsidRPr="00FD32EC">
        <w:t xml:space="preserve"> </w:t>
      </w:r>
      <w:proofErr w:type="spellStart"/>
      <w:r w:rsidRPr="00FD32EC">
        <w:t>тачкама</w:t>
      </w:r>
      <w:proofErr w:type="spellEnd"/>
      <w:r w:rsidRPr="00FD32EC">
        <w:t>:</w:t>
      </w:r>
    </w:p>
    <w:p w14:paraId="41B035C4" w14:textId="77777777" w:rsidR="004107A7" w:rsidRPr="00FD32EC" w:rsidRDefault="004107A7" w:rsidP="0054763C">
      <w:pPr>
        <w:pStyle w:val="ListParagraph"/>
        <w:numPr>
          <w:ilvl w:val="0"/>
          <w:numId w:val="15"/>
        </w:numPr>
        <w:spacing w:after="120"/>
        <w:jc w:val="both"/>
      </w:pPr>
      <w:r w:rsidRPr="00FD32EC">
        <w:t xml:space="preserve">у </w:t>
      </w:r>
      <w:proofErr w:type="spellStart"/>
      <w:r w:rsidRPr="00FD32EC">
        <w:t>случају</w:t>
      </w:r>
      <w:proofErr w:type="spellEnd"/>
      <w:r w:rsidRPr="00FD32EC">
        <w:t xml:space="preserve"> </w:t>
      </w:r>
      <w:proofErr w:type="spellStart"/>
      <w:r w:rsidRPr="00FD32EC">
        <w:t>да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вода</w:t>
      </w:r>
      <w:proofErr w:type="spellEnd"/>
      <w:r w:rsidRPr="00FD32EC">
        <w:t xml:space="preserve"> </w:t>
      </w:r>
      <w:proofErr w:type="spellStart"/>
      <w:r w:rsidRPr="00FD32EC">
        <w:t>снабдева</w:t>
      </w:r>
      <w:proofErr w:type="spellEnd"/>
      <w:r w:rsidRPr="00FD32EC">
        <w:t xml:space="preserve"> </w:t>
      </w:r>
      <w:proofErr w:type="spellStart"/>
      <w:r w:rsidRPr="00FD32EC">
        <w:t>из</w:t>
      </w:r>
      <w:proofErr w:type="spellEnd"/>
      <w:r w:rsidRPr="00FD32EC">
        <w:t xml:space="preserve"> </w:t>
      </w:r>
      <w:proofErr w:type="spellStart"/>
      <w:r w:rsidRPr="00FD32EC">
        <w:t>дистрибутивне</w:t>
      </w:r>
      <w:proofErr w:type="spellEnd"/>
      <w:r w:rsidRPr="00FD32EC">
        <w:t xml:space="preserve"> </w:t>
      </w:r>
      <w:proofErr w:type="spellStart"/>
      <w:r w:rsidRPr="00FD32EC">
        <w:t>мреже</w:t>
      </w:r>
      <w:proofErr w:type="spellEnd"/>
      <w:r w:rsidRPr="00FD32EC">
        <w:t xml:space="preserve">, </w:t>
      </w:r>
      <w:proofErr w:type="spellStart"/>
      <w:r w:rsidRPr="00FD32EC">
        <w:t>тачка</w:t>
      </w:r>
      <w:proofErr w:type="spellEnd"/>
      <w:r w:rsidRPr="00FD32EC">
        <w:t xml:space="preserve"> </w:t>
      </w:r>
      <w:proofErr w:type="spellStart"/>
      <w:r w:rsidRPr="00FD32EC">
        <w:t>на</w:t>
      </w:r>
      <w:proofErr w:type="spellEnd"/>
      <w:r w:rsidRPr="00FD32EC">
        <w:t xml:space="preserve"> </w:t>
      </w:r>
      <w:proofErr w:type="spellStart"/>
      <w:r w:rsidRPr="00FD32EC">
        <w:t>којој</w:t>
      </w:r>
      <w:proofErr w:type="spellEnd"/>
      <w:r w:rsidRPr="00FD32EC">
        <w:t xml:space="preserve"> </w:t>
      </w:r>
      <w:proofErr w:type="spellStart"/>
      <w:r w:rsidRPr="00FD32EC">
        <w:t>она</w:t>
      </w:r>
      <w:proofErr w:type="spellEnd"/>
      <w:r w:rsidRPr="00FD32EC">
        <w:t xml:space="preserve"> </w:t>
      </w:r>
      <w:proofErr w:type="spellStart"/>
      <w:r w:rsidRPr="00FD32EC">
        <w:t>излази</w:t>
      </w:r>
      <w:proofErr w:type="spellEnd"/>
      <w:r w:rsidRPr="00FD32EC">
        <w:t xml:space="preserve"> </w:t>
      </w:r>
      <w:proofErr w:type="spellStart"/>
      <w:r w:rsidRPr="00FD32EC">
        <w:t>из</w:t>
      </w:r>
      <w:proofErr w:type="spellEnd"/>
      <w:r w:rsidRPr="00FD32EC">
        <w:t xml:space="preserve"> </w:t>
      </w:r>
      <w:proofErr w:type="spellStart"/>
      <w:r w:rsidRPr="00FD32EC">
        <w:t>чесама</w:t>
      </w:r>
      <w:proofErr w:type="spellEnd"/>
      <w:r w:rsidRPr="00FD32EC">
        <w:t xml:space="preserve"> </w:t>
      </w:r>
      <w:proofErr w:type="spellStart"/>
      <w:r w:rsidRPr="00FD32EC">
        <w:t>где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вода</w:t>
      </w:r>
      <w:proofErr w:type="spellEnd"/>
      <w:r w:rsidRPr="00FD32EC">
        <w:t xml:space="preserve"> </w:t>
      </w:r>
      <w:proofErr w:type="spellStart"/>
      <w:r w:rsidRPr="00FD32EC">
        <w:t>нормално</w:t>
      </w:r>
      <w:proofErr w:type="spellEnd"/>
      <w:r w:rsidRPr="00FD32EC">
        <w:t xml:space="preserve"> </w:t>
      </w:r>
      <w:proofErr w:type="spellStart"/>
      <w:r w:rsidRPr="00FD32EC">
        <w:t>узима</w:t>
      </w:r>
      <w:proofErr w:type="spellEnd"/>
      <w:r w:rsidRPr="00FD32EC">
        <w:t>;</w:t>
      </w:r>
    </w:p>
    <w:p w14:paraId="200B68BC" w14:textId="77777777" w:rsidR="004107A7" w:rsidRPr="00FD32EC" w:rsidRDefault="004107A7" w:rsidP="0054763C">
      <w:pPr>
        <w:pStyle w:val="ListParagraph"/>
        <w:numPr>
          <w:ilvl w:val="0"/>
          <w:numId w:val="15"/>
        </w:numPr>
        <w:spacing w:after="120"/>
        <w:jc w:val="both"/>
      </w:pPr>
      <w:r w:rsidRPr="00FD32EC">
        <w:t xml:space="preserve">у </w:t>
      </w:r>
      <w:proofErr w:type="spellStart"/>
      <w:r w:rsidRPr="00FD32EC">
        <w:t>случају</w:t>
      </w:r>
      <w:proofErr w:type="spellEnd"/>
      <w:r w:rsidRPr="00FD32EC">
        <w:t xml:space="preserve"> </w:t>
      </w:r>
      <w:proofErr w:type="spellStart"/>
      <w:r w:rsidRPr="00FD32EC">
        <w:t>воде</w:t>
      </w:r>
      <w:proofErr w:type="spellEnd"/>
      <w:r w:rsidRPr="00FD32EC">
        <w:t xml:space="preserve"> </w:t>
      </w:r>
      <w:proofErr w:type="spellStart"/>
      <w:r w:rsidRPr="00FD32EC">
        <w:t>која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снабдева</w:t>
      </w:r>
      <w:proofErr w:type="spellEnd"/>
      <w:r w:rsidRPr="00FD32EC">
        <w:t xml:space="preserve"> </w:t>
      </w:r>
      <w:proofErr w:type="spellStart"/>
      <w:r w:rsidRPr="00FD32EC">
        <w:t>из</w:t>
      </w:r>
      <w:proofErr w:type="spellEnd"/>
      <w:r w:rsidRPr="00FD32EC">
        <w:t xml:space="preserve"> </w:t>
      </w:r>
      <w:proofErr w:type="spellStart"/>
      <w:r w:rsidRPr="00FD32EC">
        <w:t>цистерне</w:t>
      </w:r>
      <w:proofErr w:type="spellEnd"/>
      <w:r w:rsidRPr="00FD32EC">
        <w:t xml:space="preserve">, </w:t>
      </w:r>
      <w:proofErr w:type="spellStart"/>
      <w:r w:rsidRPr="00FD32EC">
        <w:t>тачку</w:t>
      </w:r>
      <w:proofErr w:type="spellEnd"/>
      <w:r w:rsidRPr="00FD32EC">
        <w:t xml:space="preserve"> </w:t>
      </w:r>
      <w:proofErr w:type="spellStart"/>
      <w:r w:rsidRPr="00FD32EC">
        <w:t>на</w:t>
      </w:r>
      <w:proofErr w:type="spellEnd"/>
      <w:r w:rsidRPr="00FD32EC">
        <w:t xml:space="preserve"> </w:t>
      </w:r>
      <w:proofErr w:type="spellStart"/>
      <w:r w:rsidRPr="00FD32EC">
        <w:t>којој</w:t>
      </w:r>
      <w:proofErr w:type="spellEnd"/>
      <w:r w:rsidRPr="00FD32EC">
        <w:t xml:space="preserve"> </w:t>
      </w:r>
      <w:proofErr w:type="spellStart"/>
      <w:r w:rsidRPr="00FD32EC">
        <w:t>она</w:t>
      </w:r>
      <w:proofErr w:type="spellEnd"/>
      <w:r w:rsidRPr="00FD32EC">
        <w:t xml:space="preserve"> </w:t>
      </w:r>
      <w:proofErr w:type="spellStart"/>
      <w:r w:rsidRPr="00FD32EC">
        <w:t>излази</w:t>
      </w:r>
      <w:proofErr w:type="spellEnd"/>
      <w:r w:rsidRPr="00FD32EC">
        <w:t xml:space="preserve"> </w:t>
      </w:r>
      <w:proofErr w:type="spellStart"/>
      <w:r w:rsidRPr="00FD32EC">
        <w:t>из</w:t>
      </w:r>
      <w:proofErr w:type="spellEnd"/>
      <w:r w:rsidRPr="00FD32EC">
        <w:t xml:space="preserve"> </w:t>
      </w:r>
      <w:proofErr w:type="spellStart"/>
      <w:r w:rsidRPr="00FD32EC">
        <w:t>цистерне</w:t>
      </w:r>
      <w:proofErr w:type="spellEnd"/>
      <w:r w:rsidRPr="00FD32EC">
        <w:t>;</w:t>
      </w:r>
    </w:p>
    <w:p w14:paraId="70BDC78A" w14:textId="77777777" w:rsidR="004107A7" w:rsidRPr="00FD32EC" w:rsidRDefault="004107A7" w:rsidP="0054763C">
      <w:pPr>
        <w:pStyle w:val="ListParagraph"/>
        <w:numPr>
          <w:ilvl w:val="0"/>
          <w:numId w:val="15"/>
        </w:numPr>
        <w:spacing w:after="120"/>
        <w:jc w:val="both"/>
      </w:pPr>
      <w:r w:rsidRPr="00FD32EC">
        <w:t xml:space="preserve">у </w:t>
      </w:r>
      <w:proofErr w:type="spellStart"/>
      <w:r w:rsidRPr="00FD32EC">
        <w:t>случају</w:t>
      </w:r>
      <w:proofErr w:type="spellEnd"/>
      <w:r w:rsidRPr="00FD32EC">
        <w:t xml:space="preserve"> </w:t>
      </w:r>
      <w:proofErr w:type="spellStart"/>
      <w:r w:rsidRPr="00FD32EC">
        <w:t>да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вода</w:t>
      </w:r>
      <w:proofErr w:type="spellEnd"/>
      <w:r w:rsidRPr="00FD32EC">
        <w:t xml:space="preserve"> </w:t>
      </w:r>
      <w:proofErr w:type="spellStart"/>
      <w:r w:rsidRPr="00FD32EC">
        <w:t>ставља</w:t>
      </w:r>
      <w:proofErr w:type="spellEnd"/>
      <w:r w:rsidRPr="00FD32EC">
        <w:t xml:space="preserve"> у </w:t>
      </w:r>
      <w:proofErr w:type="spellStart"/>
      <w:r w:rsidRPr="00FD32EC">
        <w:t>флаше</w:t>
      </w:r>
      <w:proofErr w:type="spellEnd"/>
      <w:r w:rsidRPr="00FD32EC">
        <w:t xml:space="preserve"> </w:t>
      </w:r>
      <w:proofErr w:type="spellStart"/>
      <w:r w:rsidRPr="00FD32EC">
        <w:t>или</w:t>
      </w:r>
      <w:proofErr w:type="spellEnd"/>
      <w:r w:rsidRPr="00FD32EC">
        <w:t xml:space="preserve"> </w:t>
      </w:r>
      <w:proofErr w:type="spellStart"/>
      <w:r w:rsidRPr="00FD32EC">
        <w:t>контејнере</w:t>
      </w:r>
      <w:proofErr w:type="spellEnd"/>
      <w:r w:rsidRPr="00FD32EC">
        <w:t xml:space="preserve"> </w:t>
      </w:r>
      <w:proofErr w:type="spellStart"/>
      <w:r w:rsidRPr="00FD32EC">
        <w:t>намењене</w:t>
      </w:r>
      <w:proofErr w:type="spellEnd"/>
      <w:r w:rsidRPr="00FD32EC">
        <w:t xml:space="preserve"> </w:t>
      </w:r>
      <w:proofErr w:type="spellStart"/>
      <w:r w:rsidRPr="00FD32EC">
        <w:t>продаји</w:t>
      </w:r>
      <w:proofErr w:type="spellEnd"/>
      <w:r w:rsidRPr="00FD32EC">
        <w:t xml:space="preserve">, </w:t>
      </w:r>
      <w:proofErr w:type="spellStart"/>
      <w:r w:rsidRPr="00FD32EC">
        <w:t>место</w:t>
      </w:r>
      <w:proofErr w:type="spellEnd"/>
      <w:r w:rsidRPr="00FD32EC">
        <w:t xml:space="preserve"> </w:t>
      </w:r>
      <w:proofErr w:type="spellStart"/>
      <w:r w:rsidRPr="00FD32EC">
        <w:t>на</w:t>
      </w:r>
      <w:proofErr w:type="spellEnd"/>
      <w:r w:rsidRPr="00FD32EC">
        <w:t xml:space="preserve"> </w:t>
      </w:r>
      <w:proofErr w:type="spellStart"/>
      <w:r w:rsidRPr="00FD32EC">
        <w:t>коме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вода</w:t>
      </w:r>
      <w:proofErr w:type="spellEnd"/>
      <w:r w:rsidRPr="00FD32EC">
        <w:t xml:space="preserve"> </w:t>
      </w:r>
      <w:proofErr w:type="spellStart"/>
      <w:r w:rsidRPr="00FD32EC">
        <w:t>ставља</w:t>
      </w:r>
      <w:proofErr w:type="spellEnd"/>
      <w:r w:rsidRPr="00FD32EC">
        <w:t xml:space="preserve"> у </w:t>
      </w:r>
      <w:proofErr w:type="spellStart"/>
      <w:r w:rsidRPr="00FD32EC">
        <w:t>боце</w:t>
      </w:r>
      <w:proofErr w:type="spellEnd"/>
      <w:r w:rsidRPr="00FD32EC">
        <w:t xml:space="preserve"> </w:t>
      </w:r>
      <w:proofErr w:type="spellStart"/>
      <w:r w:rsidRPr="00FD32EC">
        <w:t>или</w:t>
      </w:r>
      <w:proofErr w:type="spellEnd"/>
      <w:r w:rsidRPr="00FD32EC">
        <w:t xml:space="preserve"> </w:t>
      </w:r>
      <w:proofErr w:type="spellStart"/>
      <w:r w:rsidRPr="00FD32EC">
        <w:t>контејнере</w:t>
      </w:r>
      <w:proofErr w:type="spellEnd"/>
      <w:r w:rsidRPr="00FD32EC">
        <w:t>;</w:t>
      </w:r>
    </w:p>
    <w:p w14:paraId="3B9CF1C5" w14:textId="77777777" w:rsidR="004107A7" w:rsidRPr="00FD32EC" w:rsidRDefault="004107A7" w:rsidP="0054763C">
      <w:pPr>
        <w:pStyle w:val="ListParagraph"/>
        <w:numPr>
          <w:ilvl w:val="0"/>
          <w:numId w:val="15"/>
        </w:numPr>
        <w:spacing w:after="120"/>
        <w:jc w:val="both"/>
      </w:pPr>
      <w:r w:rsidRPr="00FD32EC">
        <w:t xml:space="preserve">у </w:t>
      </w:r>
      <w:proofErr w:type="spellStart"/>
      <w:r w:rsidRPr="00FD32EC">
        <w:t>случају</w:t>
      </w:r>
      <w:proofErr w:type="spellEnd"/>
      <w:r w:rsidRPr="00FD32EC">
        <w:t xml:space="preserve"> </w:t>
      </w:r>
      <w:proofErr w:type="spellStart"/>
      <w:r w:rsidRPr="00FD32EC">
        <w:t>воде</w:t>
      </w:r>
      <w:proofErr w:type="spellEnd"/>
      <w:r w:rsidRPr="00FD32EC">
        <w:t xml:space="preserve"> </w:t>
      </w:r>
      <w:proofErr w:type="spellStart"/>
      <w:r w:rsidRPr="00FD32EC">
        <w:t>која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користи</w:t>
      </w:r>
      <w:proofErr w:type="spellEnd"/>
      <w:r w:rsidRPr="00FD32EC">
        <w:t xml:space="preserve"> у </w:t>
      </w:r>
      <w:proofErr w:type="spellStart"/>
      <w:r w:rsidRPr="00FD32EC">
        <w:t>јединици</w:t>
      </w:r>
      <w:proofErr w:type="spellEnd"/>
      <w:r w:rsidRPr="00FD32EC">
        <w:t xml:space="preserve"> </w:t>
      </w:r>
      <w:proofErr w:type="spellStart"/>
      <w:r w:rsidRPr="00FD32EC">
        <w:t>за</w:t>
      </w:r>
      <w:proofErr w:type="spellEnd"/>
      <w:r w:rsidRPr="00FD32EC">
        <w:t xml:space="preserve"> </w:t>
      </w:r>
      <w:proofErr w:type="spellStart"/>
      <w:r w:rsidRPr="00FD32EC">
        <w:t>производњу</w:t>
      </w:r>
      <w:proofErr w:type="spellEnd"/>
      <w:r w:rsidRPr="00FD32EC">
        <w:t xml:space="preserve"> </w:t>
      </w:r>
      <w:proofErr w:type="spellStart"/>
      <w:r w:rsidRPr="00FD32EC">
        <w:t>хране</w:t>
      </w:r>
      <w:proofErr w:type="spellEnd"/>
      <w:r w:rsidRPr="00FD32EC">
        <w:t xml:space="preserve">, </w:t>
      </w:r>
      <w:proofErr w:type="spellStart"/>
      <w:r w:rsidRPr="00FD32EC">
        <w:t>место</w:t>
      </w:r>
      <w:proofErr w:type="spellEnd"/>
      <w:r w:rsidRPr="00FD32EC">
        <w:t xml:space="preserve"> </w:t>
      </w:r>
      <w:proofErr w:type="spellStart"/>
      <w:r w:rsidRPr="00FD32EC">
        <w:t>где</w:t>
      </w:r>
      <w:proofErr w:type="spellEnd"/>
      <w:r w:rsidRPr="00FD32EC">
        <w:t xml:space="preserve"> </w:t>
      </w:r>
      <w:proofErr w:type="spellStart"/>
      <w:r w:rsidRPr="00FD32EC">
        <w:t>се</w:t>
      </w:r>
      <w:proofErr w:type="spellEnd"/>
      <w:r w:rsidRPr="00FD32EC">
        <w:t xml:space="preserve"> </w:t>
      </w:r>
      <w:proofErr w:type="spellStart"/>
      <w:r w:rsidRPr="00FD32EC">
        <w:t>вода</w:t>
      </w:r>
      <w:proofErr w:type="spellEnd"/>
      <w:r w:rsidRPr="00FD32EC">
        <w:t xml:space="preserve"> </w:t>
      </w:r>
      <w:proofErr w:type="spellStart"/>
      <w:r w:rsidRPr="00FD32EC">
        <w:t>користи</w:t>
      </w:r>
      <w:proofErr w:type="spellEnd"/>
      <w:r w:rsidRPr="00FD32EC">
        <w:t xml:space="preserve"> у </w:t>
      </w:r>
      <w:proofErr w:type="spellStart"/>
      <w:r w:rsidRPr="00FD32EC">
        <w:t>јединици</w:t>
      </w:r>
      <w:proofErr w:type="spellEnd"/>
      <w:r w:rsidRPr="00FD32EC">
        <w:t>.</w:t>
      </w:r>
    </w:p>
    <w:p w14:paraId="0EF3D721" w14:textId="77777777" w:rsidR="004107A7" w:rsidRPr="00FD32EC" w:rsidRDefault="004107A7" w:rsidP="0054763C">
      <w:pPr>
        <w:spacing w:after="120"/>
      </w:pPr>
      <w:proofErr w:type="spellStart"/>
      <w:r w:rsidRPr="00FD32EC">
        <w:t>Учесталост</w:t>
      </w:r>
      <w:proofErr w:type="spellEnd"/>
      <w:r w:rsidRPr="00FD32EC">
        <w:t xml:space="preserve"> </w:t>
      </w:r>
      <w:proofErr w:type="spellStart"/>
      <w:r w:rsidRPr="00FD32EC">
        <w:t>узимања</w:t>
      </w:r>
      <w:proofErr w:type="spellEnd"/>
      <w:r w:rsidRPr="00FD32EC">
        <w:t xml:space="preserve"> </w:t>
      </w:r>
      <w:proofErr w:type="spellStart"/>
      <w:r w:rsidRPr="00FD32EC">
        <w:t>узорака</w:t>
      </w:r>
      <w:proofErr w:type="spellEnd"/>
      <w:r w:rsidRPr="00FD32EC">
        <w:t xml:space="preserve"> и </w:t>
      </w:r>
      <w:proofErr w:type="spellStart"/>
      <w:r w:rsidRPr="00FD32EC">
        <w:t>анализа</w:t>
      </w:r>
      <w:proofErr w:type="spellEnd"/>
      <w:r w:rsidRPr="00FD32EC">
        <w:t xml:space="preserve"> </w:t>
      </w:r>
      <w:proofErr w:type="spellStart"/>
      <w:r w:rsidRPr="00FD32EC">
        <w:t>за</w:t>
      </w:r>
      <w:proofErr w:type="spellEnd"/>
      <w:r w:rsidRPr="00FD32EC">
        <w:t xml:space="preserve"> </w:t>
      </w:r>
      <w:r w:rsidRPr="00FD32EC">
        <w:rPr>
          <w:lang w:val="sr-Cyrl-RS"/>
        </w:rPr>
        <w:t>контролу садржаја радионуклида у</w:t>
      </w:r>
      <w:r w:rsidRPr="00FD32EC">
        <w:t xml:space="preserve"> </w:t>
      </w:r>
      <w:proofErr w:type="spellStart"/>
      <w:r w:rsidRPr="00FD32EC">
        <w:t>вод</w:t>
      </w:r>
      <w:proofErr w:type="spellEnd"/>
      <w:r w:rsidRPr="00FD32EC">
        <w:rPr>
          <w:lang w:val="sr-Cyrl-RS"/>
        </w:rPr>
        <w:t>и</w:t>
      </w:r>
      <w:r w:rsidRPr="00FD32EC">
        <w:t xml:space="preserve"> </w:t>
      </w:r>
      <w:proofErr w:type="spellStart"/>
      <w:r w:rsidRPr="00FD32EC">
        <w:t>за</w:t>
      </w:r>
      <w:proofErr w:type="spellEnd"/>
      <w:r w:rsidRPr="00FD32EC">
        <w:t xml:space="preserve"> </w:t>
      </w:r>
      <w:proofErr w:type="spellStart"/>
      <w:r w:rsidRPr="00FD32EC">
        <w:t>пиће</w:t>
      </w:r>
      <w:proofErr w:type="spellEnd"/>
      <w:r w:rsidRPr="00FD32EC">
        <w:t xml:space="preserve"> </w:t>
      </w:r>
      <w:proofErr w:type="spellStart"/>
      <w:r w:rsidRPr="00FD32EC">
        <w:t>је</w:t>
      </w:r>
      <w:proofErr w:type="spellEnd"/>
      <w:r w:rsidRPr="00FD32EC">
        <w:t xml:space="preserve"> </w:t>
      </w:r>
      <w:proofErr w:type="spellStart"/>
      <w:r w:rsidRPr="00FD32EC">
        <w:t>прописана</w:t>
      </w:r>
      <w:proofErr w:type="spellEnd"/>
      <w:r w:rsidRPr="00FD32EC">
        <w:t xml:space="preserve"> у </w:t>
      </w:r>
      <w:proofErr w:type="spellStart"/>
      <w:r w:rsidRPr="00FD32EC">
        <w:t>Прилогу</w:t>
      </w:r>
      <w:proofErr w:type="spellEnd"/>
      <w:r w:rsidRPr="00FD32EC">
        <w:t xml:space="preserve"> 1, </w:t>
      </w:r>
      <w:proofErr w:type="spellStart"/>
      <w:r w:rsidRPr="00FD32EC">
        <w:t>део</w:t>
      </w:r>
      <w:proofErr w:type="spellEnd"/>
      <w:r w:rsidRPr="00FD32EC">
        <w:t xml:space="preserve"> 1.</w:t>
      </w:r>
    </w:p>
    <w:p w14:paraId="3B90C82F" w14:textId="77777777" w:rsidR="004107A7" w:rsidRPr="00FD32EC" w:rsidRDefault="004107A7" w:rsidP="0054763C">
      <w:pPr>
        <w:spacing w:after="120"/>
        <w:jc w:val="center"/>
        <w:rPr>
          <w:lang w:val="sr-Cyrl-RS"/>
        </w:rPr>
      </w:pPr>
    </w:p>
    <w:p w14:paraId="3C5C7995" w14:textId="77777777" w:rsidR="004107A7" w:rsidRPr="00FD32EC" w:rsidRDefault="004107A7" w:rsidP="0054763C">
      <w:pPr>
        <w:spacing w:after="120"/>
        <w:jc w:val="center"/>
        <w:rPr>
          <w:lang w:val="en-US"/>
        </w:rPr>
      </w:pPr>
      <w:r w:rsidRPr="00FD32EC">
        <w:rPr>
          <w:lang w:val="sr-Cyrl-RS"/>
        </w:rPr>
        <w:t>Лабораторијске анализе</w:t>
      </w:r>
    </w:p>
    <w:p w14:paraId="42B1200C" w14:textId="2F5B4FEB" w:rsidR="004107A7" w:rsidRPr="00FD32EC" w:rsidRDefault="004107A7" w:rsidP="0054763C">
      <w:pPr>
        <w:spacing w:after="120"/>
        <w:jc w:val="center"/>
        <w:rPr>
          <w:i/>
          <w:sz w:val="22"/>
          <w:lang w:val="en-US"/>
        </w:rPr>
      </w:pPr>
      <w:r w:rsidRPr="00FD32EC">
        <w:rPr>
          <w:lang w:val="sr-Cyrl-RS"/>
        </w:rPr>
        <w:t xml:space="preserve">Члан </w:t>
      </w:r>
      <w:r w:rsidR="00F05DAF" w:rsidRPr="00FD32EC">
        <w:rPr>
          <w:lang w:val="sr-Cyrl-RS"/>
        </w:rPr>
        <w:t>5</w:t>
      </w:r>
      <w:r w:rsidR="0054763C" w:rsidRPr="00FD32EC">
        <w:rPr>
          <w:lang w:val="sr-Cyrl-RS"/>
        </w:rPr>
        <w:t>.</w:t>
      </w:r>
    </w:p>
    <w:p w14:paraId="78BC7288" w14:textId="33D03C21" w:rsidR="004107A7" w:rsidRPr="00FD32EC" w:rsidRDefault="007C14E3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Испитивања</w:t>
      </w:r>
      <w:r w:rsidR="004107A7" w:rsidRPr="00FD32EC">
        <w:rPr>
          <w:lang w:val="sr-Cyrl-RS"/>
        </w:rPr>
        <w:t xml:space="preserve"> </w:t>
      </w:r>
      <w:r w:rsidR="00EA3B96" w:rsidRPr="00FD32EC">
        <w:rPr>
          <w:lang w:val="sr-Cyrl-RS"/>
        </w:rPr>
        <w:t xml:space="preserve">која се врше у сврху одређивања садржаја радионуклида у </w:t>
      </w:r>
      <w:r w:rsidR="004107A7" w:rsidRPr="00FD32EC">
        <w:rPr>
          <w:lang w:val="sr-Cyrl-RS"/>
        </w:rPr>
        <w:t>производ</w:t>
      </w:r>
      <w:r w:rsidR="00EA3B96" w:rsidRPr="00FD32EC">
        <w:rPr>
          <w:lang w:val="sr-Cyrl-RS"/>
        </w:rPr>
        <w:t>има</w:t>
      </w:r>
      <w:r w:rsidR="004107A7" w:rsidRPr="00FD32EC">
        <w:rPr>
          <w:lang w:val="sr-Cyrl-RS"/>
        </w:rPr>
        <w:t xml:space="preserve"> и роб</w:t>
      </w:r>
      <w:r w:rsidR="00EA3B96" w:rsidRPr="00FD32EC">
        <w:rPr>
          <w:lang w:val="sr-Cyrl-RS"/>
        </w:rPr>
        <w:t>и</w:t>
      </w:r>
      <w:r w:rsidR="004107A7" w:rsidRPr="00FD32EC">
        <w:rPr>
          <w:lang w:val="sr-Cyrl-RS"/>
        </w:rPr>
        <w:t xml:space="preserve"> намењен</w:t>
      </w:r>
      <w:r w:rsidR="00EA3B96" w:rsidRPr="00FD32EC">
        <w:rPr>
          <w:lang w:val="sr-Cyrl-RS"/>
        </w:rPr>
        <w:t>ој</w:t>
      </w:r>
      <w:r w:rsidR="004107A7" w:rsidRPr="00FD32EC">
        <w:rPr>
          <w:lang w:val="sr-Cyrl-RS"/>
        </w:rPr>
        <w:t xml:space="preserve"> становништву, животињама и производ</w:t>
      </w:r>
      <w:r w:rsidR="00EA3B96" w:rsidRPr="00FD32EC">
        <w:rPr>
          <w:lang w:val="sr-Cyrl-RS"/>
        </w:rPr>
        <w:t>има</w:t>
      </w:r>
      <w:r w:rsidR="004107A7" w:rsidRPr="00FD32EC">
        <w:rPr>
          <w:lang w:val="sr-Cyrl-RS"/>
        </w:rPr>
        <w:t xml:space="preserve"> и друг</w:t>
      </w:r>
      <w:r w:rsidR="00EA3B96" w:rsidRPr="00FD32EC">
        <w:rPr>
          <w:lang w:val="sr-Cyrl-RS"/>
        </w:rPr>
        <w:t>ој</w:t>
      </w:r>
      <w:r w:rsidR="004107A7" w:rsidRPr="00FD32EC">
        <w:rPr>
          <w:lang w:val="sr-Cyrl-RS"/>
        </w:rPr>
        <w:t xml:space="preserve"> роб</w:t>
      </w:r>
      <w:r w:rsidR="00EA3B96" w:rsidRPr="00FD32EC">
        <w:rPr>
          <w:lang w:val="sr-Cyrl-RS"/>
        </w:rPr>
        <w:t>и</w:t>
      </w:r>
      <w:r w:rsidR="004107A7" w:rsidRPr="00FD32EC">
        <w:rPr>
          <w:lang w:val="sr-Cyrl-RS"/>
        </w:rPr>
        <w:t xml:space="preserve"> намењен</w:t>
      </w:r>
      <w:r w:rsidR="00EA3B96" w:rsidRPr="00FD32EC">
        <w:rPr>
          <w:lang w:val="sr-Cyrl-RS"/>
        </w:rPr>
        <w:t>ој</w:t>
      </w:r>
      <w:r w:rsidR="004107A7" w:rsidRPr="00FD32EC">
        <w:rPr>
          <w:lang w:val="sr-Cyrl-RS"/>
        </w:rPr>
        <w:t xml:space="preserve"> за употребу у радној и животној средини која се ставља на тржиште </w:t>
      </w:r>
      <w:r w:rsidR="009F04C8" w:rsidRPr="00FD32EC">
        <w:rPr>
          <w:lang w:val="sr-Cyrl-RS"/>
        </w:rPr>
        <w:t xml:space="preserve">врше </w:t>
      </w:r>
      <w:r w:rsidR="004107A7" w:rsidRPr="00FD32EC">
        <w:rPr>
          <w:lang w:val="sr-Cyrl-RS"/>
        </w:rPr>
        <w:t>се у оквиру одговарајућег система управљања квалитетом који обезбеђује да добијени резултати мерења буду следљиви, тачни, репрезентативни, поновљив и одбрањиви.</w:t>
      </w:r>
    </w:p>
    <w:p w14:paraId="7082D3C6" w14:textId="39D5092B" w:rsidR="004107A7" w:rsidRPr="00FD32EC" w:rsidRDefault="00137719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И</w:t>
      </w:r>
      <w:r w:rsidR="003359CA" w:rsidRPr="00FD32EC">
        <w:rPr>
          <w:lang w:val="sr-Cyrl-RS"/>
        </w:rPr>
        <w:t>спитивања</w:t>
      </w:r>
      <w:r w:rsidR="004107A7" w:rsidRPr="00FD32EC">
        <w:rPr>
          <w:lang w:val="sr-Cyrl-RS"/>
        </w:rPr>
        <w:t xml:space="preserve"> се спроводе </w:t>
      </w:r>
      <w:r w:rsidR="00A96916" w:rsidRPr="00FD32EC">
        <w:rPr>
          <w:lang w:val="sr-Cyrl-RS"/>
        </w:rPr>
        <w:t xml:space="preserve">стандардним методама објављеним од стране међународних, регионалних или националних организација. Испитивања се могу спроводити и модификованим стандардним методама или нестандардним методама које у том случају </w:t>
      </w:r>
      <w:r w:rsidR="00A96916" w:rsidRPr="00FD32EC">
        <w:rPr>
          <w:lang w:val="sr-Cyrl-RS"/>
        </w:rPr>
        <w:lastRenderedPageBreak/>
        <w:t>морају бити документоване  и</w:t>
      </w:r>
      <w:r w:rsidR="0077061C" w:rsidRPr="00FD32EC">
        <w:rPr>
          <w:lang w:val="sr-Cyrl-RS"/>
        </w:rPr>
        <w:t xml:space="preserve"> </w:t>
      </w:r>
      <w:proofErr w:type="spellStart"/>
      <w:r w:rsidR="0077061C" w:rsidRPr="00FD32EC">
        <w:rPr>
          <w:lang w:val="sr-Cyrl-RS"/>
        </w:rPr>
        <w:t>валид</w:t>
      </w:r>
      <w:r w:rsidR="00CC10D0" w:rsidRPr="00FD32EC">
        <w:rPr>
          <w:lang w:val="sr-Cyrl-RS"/>
        </w:rPr>
        <w:t>оване</w:t>
      </w:r>
      <w:proofErr w:type="spellEnd"/>
      <w:r w:rsidR="0077061C" w:rsidRPr="00FD32EC">
        <w:rPr>
          <w:lang w:val="sr-Cyrl-RS"/>
        </w:rPr>
        <w:t xml:space="preserve"> </w:t>
      </w:r>
      <w:r w:rsidR="004107A7" w:rsidRPr="00FD32EC">
        <w:rPr>
          <w:lang w:val="sr-Cyrl-RS"/>
        </w:rPr>
        <w:t>у оквиру система управљања квалитетом лабораторије.</w:t>
      </w:r>
    </w:p>
    <w:p w14:paraId="6603433F" w14:textId="77777777" w:rsidR="004107A7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Учинак лабораторијских радиоаналитичких поступака у смислу тачности и прецизности се оцењује редовним учешћем у националним и међународним интеркомпарацијама.</w:t>
      </w:r>
    </w:p>
    <w:p w14:paraId="3B00D7AA" w14:textId="77777777" w:rsidR="00EC4D52" w:rsidRDefault="00EC4D52" w:rsidP="00EC4D52">
      <w:pPr>
        <w:spacing w:after="120"/>
        <w:jc w:val="center"/>
        <w:rPr>
          <w:lang w:val="sr-Cyrl-RS"/>
        </w:rPr>
      </w:pPr>
    </w:p>
    <w:p w14:paraId="2AFF86AA" w14:textId="6A5431A1" w:rsidR="00EC4D52" w:rsidRPr="00FD32EC" w:rsidRDefault="00EC4D52" w:rsidP="00EC4D52">
      <w:pPr>
        <w:spacing w:after="120"/>
        <w:jc w:val="center"/>
        <w:rPr>
          <w:lang w:val="en-US"/>
        </w:rPr>
      </w:pPr>
      <w:r w:rsidRPr="00FD32EC">
        <w:rPr>
          <w:lang w:val="sr-Cyrl-RS"/>
        </w:rPr>
        <w:t>Систем управљања квалитетом</w:t>
      </w:r>
    </w:p>
    <w:p w14:paraId="27DDE87F" w14:textId="003C3DFF" w:rsidR="00EC4D52" w:rsidRPr="00FD32EC" w:rsidRDefault="00EC4D52" w:rsidP="00EC4D52">
      <w:pPr>
        <w:spacing w:after="120"/>
        <w:jc w:val="center"/>
        <w:rPr>
          <w:i/>
          <w:lang w:val="sr-Cyrl-RS"/>
        </w:rPr>
      </w:pPr>
      <w:r w:rsidRPr="00FD32EC">
        <w:rPr>
          <w:lang w:val="sr-Cyrl-RS"/>
        </w:rPr>
        <w:t xml:space="preserve">Члан </w:t>
      </w:r>
      <w:r>
        <w:rPr>
          <w:lang w:val="sr-Cyrl-RS"/>
        </w:rPr>
        <w:t>6</w:t>
      </w:r>
      <w:r w:rsidRPr="00FD32EC">
        <w:rPr>
          <w:lang w:val="sr-Cyrl-RS"/>
        </w:rPr>
        <w:t>.</w:t>
      </w:r>
    </w:p>
    <w:p w14:paraId="072D2795" w14:textId="77777777" w:rsidR="00EC4D52" w:rsidRPr="00FD32EC" w:rsidRDefault="00EC4D52" w:rsidP="00EC4D52">
      <w:pPr>
        <w:tabs>
          <w:tab w:val="left" w:pos="426"/>
        </w:tabs>
        <w:spacing w:after="120"/>
        <w:jc w:val="both"/>
        <w:rPr>
          <w:lang w:val="sr-Cyrl-RS"/>
        </w:rPr>
      </w:pPr>
      <w:r w:rsidRPr="00FD32EC">
        <w:rPr>
          <w:lang w:val="sr-Cyrl-RS"/>
        </w:rPr>
        <w:t xml:space="preserve">Системи управљања квалитетом у лабораторијама које врше контролу </w:t>
      </w:r>
      <w:r w:rsidRPr="00FD32EC">
        <w:rPr>
          <w:rStyle w:val="hps"/>
          <w:lang w:val="sr-Cyrl-RS"/>
        </w:rPr>
        <w:t xml:space="preserve">садржаја радионуклида у </w:t>
      </w:r>
      <w:r w:rsidRPr="00FD32EC">
        <w:rPr>
          <w:lang w:val="sr-Cyrl-RS"/>
        </w:rPr>
        <w:t>производима и роби намењеној становништву, животињама и производима и другој роби намењеној за употребу у радној и животној средини која се ставља на тржиште</w:t>
      </w:r>
      <w:r w:rsidRPr="00FD32EC">
        <w:rPr>
          <w:rStyle w:val="hps"/>
          <w:lang w:val="sr-Cyrl-RS"/>
        </w:rPr>
        <w:t xml:space="preserve"> </w:t>
      </w:r>
      <w:r w:rsidRPr="00FD32EC">
        <w:rPr>
          <w:lang w:val="sr-Cyrl-RS"/>
        </w:rPr>
        <w:t xml:space="preserve">акредитују се према међународном стандарду </w:t>
      </w:r>
      <w:r w:rsidRPr="00FD32EC">
        <w:t>ISO</w:t>
      </w:r>
      <w:r w:rsidRPr="00FD32EC">
        <w:rPr>
          <w:lang w:val="sr-Cyrl-RS"/>
        </w:rPr>
        <w:t>/</w:t>
      </w:r>
      <w:r w:rsidRPr="00FD32EC">
        <w:t>IEC</w:t>
      </w:r>
      <w:r w:rsidRPr="00FD32EC">
        <w:rPr>
          <w:lang w:val="sr-Cyrl-RS"/>
        </w:rPr>
        <w:t xml:space="preserve"> 17025:2005. Општи захтеви за компетентност лабораторија за испитивање и еталонирање”.</w:t>
      </w:r>
    </w:p>
    <w:p w14:paraId="2637AC84" w14:textId="77777777" w:rsidR="004107A7" w:rsidRPr="00FD32EC" w:rsidRDefault="004107A7" w:rsidP="0054763C">
      <w:pPr>
        <w:spacing w:after="120"/>
        <w:rPr>
          <w:rStyle w:val="hps"/>
        </w:rPr>
      </w:pPr>
    </w:p>
    <w:p w14:paraId="40E21B9F" w14:textId="77777777" w:rsidR="004107A7" w:rsidRPr="00FD32EC" w:rsidRDefault="004107A7" w:rsidP="0054763C">
      <w:pPr>
        <w:spacing w:after="120"/>
        <w:jc w:val="center"/>
        <w:rPr>
          <w:sz w:val="22"/>
          <w:lang w:val="en-US"/>
        </w:rPr>
      </w:pPr>
      <w:r w:rsidRPr="00FD32EC">
        <w:rPr>
          <w:lang w:val="sr-Cyrl-RS"/>
        </w:rPr>
        <w:t xml:space="preserve">Границе детекције </w:t>
      </w:r>
    </w:p>
    <w:p w14:paraId="3D4A6A2B" w14:textId="35A13CB8" w:rsidR="004107A7" w:rsidRPr="00FD32EC" w:rsidRDefault="004107A7" w:rsidP="0054763C">
      <w:pPr>
        <w:spacing w:after="120"/>
        <w:jc w:val="center"/>
        <w:rPr>
          <w:i/>
          <w:lang w:val="en-US"/>
        </w:rPr>
      </w:pPr>
      <w:r w:rsidRPr="00FD32EC">
        <w:rPr>
          <w:lang w:val="sr-Cyrl-RS"/>
        </w:rPr>
        <w:t xml:space="preserve">Члан </w:t>
      </w:r>
      <w:r w:rsidR="00EC4D52">
        <w:rPr>
          <w:lang w:val="sr-Cyrl-RS"/>
        </w:rPr>
        <w:t>7</w:t>
      </w:r>
      <w:r w:rsidR="0054763C" w:rsidRPr="00FD32EC">
        <w:rPr>
          <w:lang w:val="sr-Cyrl-RS"/>
        </w:rPr>
        <w:t>.</w:t>
      </w:r>
    </w:p>
    <w:p w14:paraId="748A52AF" w14:textId="60EE5E39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Мерн</w:t>
      </w:r>
      <w:r w:rsidR="007220BD" w:rsidRPr="00FD32EC">
        <w:rPr>
          <w:lang w:val="sr-Cyrl-RS"/>
        </w:rPr>
        <w:t xml:space="preserve">а опрема </w:t>
      </w:r>
      <w:r w:rsidRPr="00FD32EC">
        <w:rPr>
          <w:lang w:val="sr-Cyrl-RS"/>
        </w:rPr>
        <w:t>и методе се бирају на такав начин да обезбеде да придружене границе детекције буду адекватне за постизање циљева захтеваних мерења садржаја радионуклида.</w:t>
      </w:r>
    </w:p>
    <w:p w14:paraId="7992E8CD" w14:textId="77777777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Границе детекције мерних инструмената и метода израчунавају се узимајући у обзир следеће параметре, према потреби:</w:t>
      </w:r>
    </w:p>
    <w:p w14:paraId="13F9E99A" w14:textId="77777777" w:rsidR="004107A7" w:rsidRPr="00FD32EC" w:rsidRDefault="004107A7" w:rsidP="0054763C">
      <w:pPr>
        <w:pStyle w:val="ListParagraph"/>
        <w:numPr>
          <w:ilvl w:val="0"/>
          <w:numId w:val="16"/>
        </w:numPr>
        <w:spacing w:after="120"/>
        <w:jc w:val="both"/>
        <w:rPr>
          <w:lang w:val="sr-Cyrl-RS"/>
        </w:rPr>
      </w:pPr>
      <w:r w:rsidRPr="00FD32EC">
        <w:rPr>
          <w:lang w:val="sr-Cyrl-RS"/>
        </w:rPr>
        <w:t>Јачина сигнала за основно зрачење;</w:t>
      </w:r>
    </w:p>
    <w:p w14:paraId="7583666D" w14:textId="12A2711D" w:rsidR="004107A7" w:rsidRPr="00FD32EC" w:rsidRDefault="00BF18E2" w:rsidP="0054763C">
      <w:pPr>
        <w:pStyle w:val="ListParagraph"/>
        <w:numPr>
          <w:ilvl w:val="0"/>
          <w:numId w:val="16"/>
        </w:numPr>
        <w:spacing w:after="120"/>
        <w:jc w:val="both"/>
        <w:rPr>
          <w:lang w:val="sr-Cyrl-RS"/>
        </w:rPr>
      </w:pPr>
      <w:r w:rsidRPr="00FD32EC">
        <w:rPr>
          <w:lang w:val="sr-Cyrl-RS"/>
        </w:rPr>
        <w:t>Е</w:t>
      </w:r>
      <w:r w:rsidR="004107A7" w:rsidRPr="00FD32EC">
        <w:rPr>
          <w:lang w:val="sr-Cyrl-RS"/>
        </w:rPr>
        <w:t>фикасност система бројања;</w:t>
      </w:r>
    </w:p>
    <w:p w14:paraId="4CFD4740" w14:textId="77777777" w:rsidR="004107A7" w:rsidRPr="00FD32EC" w:rsidRDefault="004107A7" w:rsidP="0054763C">
      <w:pPr>
        <w:pStyle w:val="ListParagraph"/>
        <w:numPr>
          <w:ilvl w:val="0"/>
          <w:numId w:val="16"/>
        </w:numPr>
        <w:spacing w:after="120"/>
        <w:jc w:val="both"/>
        <w:rPr>
          <w:lang w:val="sr-Cyrl-RS"/>
        </w:rPr>
      </w:pPr>
      <w:r w:rsidRPr="00FD32EC">
        <w:rPr>
          <w:lang w:val="sr-Cyrl-RS"/>
        </w:rPr>
        <w:t xml:space="preserve">Период </w:t>
      </w:r>
      <w:proofErr w:type="spellStart"/>
      <w:r w:rsidRPr="00FD32EC">
        <w:rPr>
          <w:lang w:val="sr-Cyrl-RS"/>
        </w:rPr>
        <w:t>узорковања</w:t>
      </w:r>
      <w:proofErr w:type="spellEnd"/>
      <w:r w:rsidRPr="00FD32EC">
        <w:rPr>
          <w:lang w:val="sr-Cyrl-RS"/>
        </w:rPr>
        <w:t>;</w:t>
      </w:r>
    </w:p>
    <w:p w14:paraId="2BA35292" w14:textId="77777777" w:rsidR="004107A7" w:rsidRPr="00FD32EC" w:rsidRDefault="004107A7" w:rsidP="0054763C">
      <w:pPr>
        <w:pStyle w:val="ListParagraph"/>
        <w:numPr>
          <w:ilvl w:val="0"/>
          <w:numId w:val="16"/>
        </w:numPr>
        <w:spacing w:after="120"/>
        <w:jc w:val="both"/>
        <w:rPr>
          <w:lang w:val="sr-Cyrl-RS"/>
        </w:rPr>
      </w:pPr>
      <w:r w:rsidRPr="00FD32EC">
        <w:rPr>
          <w:lang w:val="sr-Cyrl-RS"/>
        </w:rPr>
        <w:t>Време мерења.</w:t>
      </w:r>
    </w:p>
    <w:p w14:paraId="33A3693B" w14:textId="0D9C38A0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 xml:space="preserve">За </w:t>
      </w:r>
      <w:r w:rsidR="00A938A8" w:rsidRPr="00FD32EC">
        <w:rPr>
          <w:lang w:val="sr-Cyrl-RS"/>
        </w:rPr>
        <w:t>испитивањ</w:t>
      </w:r>
      <w:r w:rsidR="00517AD5" w:rsidRPr="00FD32EC">
        <w:rPr>
          <w:lang w:val="sr-Cyrl-RS"/>
        </w:rPr>
        <w:t>а</w:t>
      </w:r>
      <w:r w:rsidRPr="00FD32EC">
        <w:rPr>
          <w:lang w:val="sr-Cyrl-RS"/>
        </w:rPr>
        <w:t xml:space="preserve"> </w:t>
      </w:r>
      <w:r w:rsidR="00517AD5" w:rsidRPr="00FD32EC">
        <w:rPr>
          <w:lang w:val="sr-Cyrl-RS"/>
        </w:rPr>
        <w:t xml:space="preserve">која се врше у сврху одређивања </w:t>
      </w:r>
      <w:r w:rsidRPr="00FD32EC">
        <w:rPr>
          <w:lang w:val="sr-Cyrl-RS"/>
        </w:rPr>
        <w:t>садржаја радио</w:t>
      </w:r>
      <w:r w:rsidR="00EA3B96" w:rsidRPr="00FD32EC">
        <w:rPr>
          <w:lang w:val="sr-Cyrl-RS"/>
        </w:rPr>
        <w:t>нуклида</w:t>
      </w:r>
      <w:r w:rsidRPr="00FD32EC">
        <w:rPr>
          <w:lang w:val="sr-Cyrl-RS"/>
        </w:rPr>
        <w:t xml:space="preserve"> у </w:t>
      </w:r>
      <w:r w:rsidR="00BF18E2" w:rsidRPr="00FD32EC">
        <w:rPr>
          <w:lang w:val="sr-Cyrl-RS"/>
        </w:rPr>
        <w:t>производима и роби намењеној становништву, животињама и производима и другој роби намењеној за употребу у радној и животној средини која се ставља на тржиште</w:t>
      </w:r>
      <w:r w:rsidRPr="00FD32EC">
        <w:rPr>
          <w:lang w:val="sr-Cyrl-RS"/>
        </w:rPr>
        <w:t>, границе детекције мер</w:t>
      </w:r>
      <w:r w:rsidR="007C14E3" w:rsidRPr="00FD32EC">
        <w:rPr>
          <w:lang w:val="sr-Cyrl-RS"/>
        </w:rPr>
        <w:t>не опреме</w:t>
      </w:r>
      <w:r w:rsidRPr="00FD32EC">
        <w:rPr>
          <w:lang w:val="sr-Cyrl-RS"/>
        </w:rPr>
        <w:t xml:space="preserve"> треба да омогуће да стварни нивои радиоактивности у измереним производима или добрима </w:t>
      </w:r>
      <w:r w:rsidR="00BF18E2" w:rsidRPr="00FD32EC">
        <w:rPr>
          <w:lang w:val="sr-Cyrl-RS"/>
        </w:rPr>
        <w:t>буду</w:t>
      </w:r>
      <w:r w:rsidRPr="00FD32EC">
        <w:rPr>
          <w:lang w:val="sr-Cyrl-RS"/>
        </w:rPr>
        <w:t xml:space="preserve"> квантификовани.</w:t>
      </w:r>
    </w:p>
    <w:p w14:paraId="1F08CD22" w14:textId="77777777" w:rsidR="004107A7" w:rsidRPr="00FD32EC" w:rsidRDefault="004107A7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За мониторинг воде за пиће, границе детекције мерних инструмената морају бити ниже од нивоа прописаних у Прилогу 1 део 2.</w:t>
      </w:r>
    </w:p>
    <w:p w14:paraId="2FB25CE1" w14:textId="77777777" w:rsidR="004107A7" w:rsidRPr="00FD32EC" w:rsidRDefault="004107A7" w:rsidP="0054763C">
      <w:pPr>
        <w:tabs>
          <w:tab w:val="left" w:pos="426"/>
        </w:tabs>
        <w:spacing w:after="120"/>
        <w:ind w:left="426"/>
        <w:rPr>
          <w:rStyle w:val="hps"/>
        </w:rPr>
      </w:pPr>
    </w:p>
    <w:p w14:paraId="68A2012C" w14:textId="70E95ABC" w:rsidR="004107A7" w:rsidRPr="00FD32EC" w:rsidRDefault="0040440D" w:rsidP="0054763C">
      <w:pPr>
        <w:spacing w:after="120"/>
        <w:jc w:val="center"/>
        <w:rPr>
          <w:lang w:val="en-US"/>
        </w:rPr>
      </w:pPr>
      <w:r w:rsidRPr="00FD32EC">
        <w:rPr>
          <w:lang w:val="sr-Cyrl-RS"/>
        </w:rPr>
        <w:t>Мерне несигурности</w:t>
      </w:r>
    </w:p>
    <w:p w14:paraId="2A13E23B" w14:textId="6152484A" w:rsidR="004107A7" w:rsidRPr="00FD32EC" w:rsidRDefault="000849B1" w:rsidP="0054763C">
      <w:pPr>
        <w:spacing w:after="120"/>
        <w:jc w:val="center"/>
        <w:rPr>
          <w:i/>
          <w:lang w:val="sr-Cyrl-RS"/>
        </w:rPr>
      </w:pPr>
      <w:r w:rsidRPr="00FD32EC">
        <w:rPr>
          <w:lang w:val="sr-Cyrl-RS"/>
        </w:rPr>
        <w:t>Члан</w:t>
      </w:r>
      <w:r w:rsidR="004107A7" w:rsidRPr="00FD32EC">
        <w:t xml:space="preserve"> </w:t>
      </w:r>
      <w:r w:rsidR="00EC4D52">
        <w:rPr>
          <w:lang w:val="sr-Cyrl-RS"/>
        </w:rPr>
        <w:t>8</w:t>
      </w:r>
      <w:r w:rsidR="0054763C" w:rsidRPr="00FD32EC">
        <w:rPr>
          <w:lang w:val="sr-Cyrl-RS"/>
        </w:rPr>
        <w:t>.</w:t>
      </w:r>
    </w:p>
    <w:p w14:paraId="1AF30A1E" w14:textId="54DFCC94" w:rsidR="0040440D" w:rsidRPr="00FD32EC" w:rsidRDefault="0040440D" w:rsidP="0054763C">
      <w:p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 xml:space="preserve">Резултати сваког </w:t>
      </w:r>
      <w:r w:rsidR="00A938A8" w:rsidRPr="00FD32EC">
        <w:rPr>
          <w:rStyle w:val="hps"/>
          <w:lang w:val="sr-Cyrl-RS"/>
        </w:rPr>
        <w:t xml:space="preserve">испитивања </w:t>
      </w:r>
      <w:r w:rsidRPr="00FD32EC">
        <w:rPr>
          <w:rStyle w:val="hps"/>
          <w:lang w:val="sr-Cyrl-RS"/>
        </w:rPr>
        <w:t>садржаја радио</w:t>
      </w:r>
      <w:r w:rsidR="00EA3B96" w:rsidRPr="00FD32EC">
        <w:rPr>
          <w:rStyle w:val="hps"/>
          <w:lang w:val="sr-Cyrl-RS"/>
        </w:rPr>
        <w:t>нуклида</w:t>
      </w:r>
      <w:r w:rsidRPr="00FD32EC">
        <w:rPr>
          <w:rStyle w:val="hps"/>
          <w:lang w:val="sr-Cyrl-RS"/>
        </w:rPr>
        <w:t xml:space="preserve"> у </w:t>
      </w:r>
      <w:r w:rsidR="006E57E1" w:rsidRPr="00FD32EC">
        <w:rPr>
          <w:lang w:val="sr-Cyrl-RS"/>
        </w:rPr>
        <w:t>производима и роби намењеној становништву, животињама и производима и другој роби намењеној за употребу у радној и животној средини која се ставља на тржиште</w:t>
      </w:r>
      <w:r w:rsidRPr="00FD32EC">
        <w:rPr>
          <w:rStyle w:val="hps"/>
          <w:lang w:val="sr-Cyrl-RS"/>
        </w:rPr>
        <w:t xml:space="preserve"> </w:t>
      </w:r>
      <w:r w:rsidR="00370B73" w:rsidRPr="00FD32EC">
        <w:rPr>
          <w:rStyle w:val="hps"/>
          <w:lang w:val="sr-Cyrl-RS"/>
        </w:rPr>
        <w:t>приказују се</w:t>
      </w:r>
      <w:r w:rsidRPr="00FD32EC">
        <w:rPr>
          <w:rStyle w:val="hps"/>
          <w:lang w:val="sr-Cyrl-RS"/>
        </w:rPr>
        <w:t xml:space="preserve"> заједно са п</w:t>
      </w:r>
      <w:r w:rsidR="006E57E1" w:rsidRPr="00FD32EC">
        <w:rPr>
          <w:rStyle w:val="hps"/>
          <w:lang w:val="sr-Cyrl-RS"/>
        </w:rPr>
        <w:t>ридружени</w:t>
      </w:r>
      <w:r w:rsidRPr="00FD32EC">
        <w:rPr>
          <w:rStyle w:val="hps"/>
          <w:lang w:val="sr-Cyrl-RS"/>
        </w:rPr>
        <w:t xml:space="preserve">м </w:t>
      </w:r>
      <w:r w:rsidR="006E57E1" w:rsidRPr="00FD32EC">
        <w:rPr>
          <w:rStyle w:val="hps"/>
          <w:lang w:val="sr-Cyrl-RS"/>
        </w:rPr>
        <w:t xml:space="preserve">мерним </w:t>
      </w:r>
      <w:r w:rsidRPr="00FD32EC">
        <w:rPr>
          <w:rStyle w:val="hps"/>
          <w:lang w:val="sr-Cyrl-RS"/>
        </w:rPr>
        <w:t>несигурностима.</w:t>
      </w:r>
    </w:p>
    <w:p w14:paraId="5D1C0542" w14:textId="1DBE46C0" w:rsidR="00370B73" w:rsidRPr="00FD32EC" w:rsidRDefault="0040440D" w:rsidP="0054763C">
      <w:p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 xml:space="preserve">Мерне несигурности се </w:t>
      </w:r>
      <w:r w:rsidR="006E57E1" w:rsidRPr="00FD32EC">
        <w:rPr>
          <w:rStyle w:val="hps"/>
          <w:lang w:val="sr-Cyrl-RS"/>
        </w:rPr>
        <w:t>процењују</w:t>
      </w:r>
      <w:r w:rsidRPr="00FD32EC">
        <w:rPr>
          <w:rStyle w:val="hps"/>
          <w:lang w:val="sr-Cyrl-RS"/>
        </w:rPr>
        <w:t xml:space="preserve">, </w:t>
      </w:r>
      <w:r w:rsidR="006E57E1" w:rsidRPr="00FD32EC">
        <w:rPr>
          <w:rStyle w:val="hps"/>
          <w:lang w:val="sr-Cyrl-RS"/>
        </w:rPr>
        <w:t>приказују</w:t>
      </w:r>
      <w:r w:rsidRPr="00FD32EC">
        <w:rPr>
          <w:rStyle w:val="hps"/>
          <w:lang w:val="sr-Cyrl-RS"/>
        </w:rPr>
        <w:t>, комбинују и изражавају у стандардном формату</w:t>
      </w:r>
      <w:r w:rsidR="00370B73" w:rsidRPr="00FD32EC">
        <w:rPr>
          <w:rStyle w:val="hps"/>
          <w:lang w:val="sr-Cyrl-RS"/>
        </w:rPr>
        <w:t xml:space="preserve"> и то</w:t>
      </w:r>
      <w:r w:rsidR="00E85EF7" w:rsidRPr="00FD32EC">
        <w:rPr>
          <w:rStyle w:val="hps"/>
          <w:lang w:val="sr-Cyrl-RS"/>
        </w:rPr>
        <w:t xml:space="preserve"> као</w:t>
      </w:r>
      <w:r w:rsidR="00370B73" w:rsidRPr="00FD32EC">
        <w:rPr>
          <w:rStyle w:val="hps"/>
          <w:lang w:val="sr-Cyrl-RS"/>
        </w:rPr>
        <w:t>:</w:t>
      </w:r>
    </w:p>
    <w:p w14:paraId="5FDA0DC6" w14:textId="77777777" w:rsidR="00E85EF7" w:rsidRPr="00FD32EC" w:rsidRDefault="0040440D" w:rsidP="003E1F36">
      <w:pPr>
        <w:pStyle w:val="ListParagraph"/>
        <w:numPr>
          <w:ilvl w:val="0"/>
          <w:numId w:val="20"/>
        </w:num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>аритметичка или геометријска стандардна девијација</w:t>
      </w:r>
      <w:r w:rsidR="00370B73" w:rsidRPr="00FD32EC">
        <w:rPr>
          <w:rStyle w:val="hps"/>
          <w:lang w:val="sr-Cyrl-RS"/>
        </w:rPr>
        <w:t xml:space="preserve"> или</w:t>
      </w:r>
    </w:p>
    <w:p w14:paraId="78D7EC93" w14:textId="5995B8A9" w:rsidR="0040440D" w:rsidRPr="00FD32EC" w:rsidRDefault="0040440D" w:rsidP="003E1F36">
      <w:pPr>
        <w:pStyle w:val="ListParagraph"/>
        <w:numPr>
          <w:ilvl w:val="0"/>
          <w:numId w:val="20"/>
        </w:num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 xml:space="preserve">са </w:t>
      </w:r>
      <w:proofErr w:type="spellStart"/>
      <w:r w:rsidRPr="00FD32EC">
        <w:rPr>
          <w:rStyle w:val="hps"/>
          <w:lang w:val="sr-Cyrl-RS"/>
        </w:rPr>
        <w:t>пол</w:t>
      </w:r>
      <w:r w:rsidR="006E57E1" w:rsidRPr="00FD32EC">
        <w:rPr>
          <w:rStyle w:val="hps"/>
          <w:lang w:val="sr-Cyrl-RS"/>
        </w:rPr>
        <w:t>у</w:t>
      </w:r>
      <w:r w:rsidRPr="00FD32EC">
        <w:rPr>
          <w:rStyle w:val="hps"/>
          <w:lang w:val="sr-Cyrl-RS"/>
        </w:rPr>
        <w:t>ширином</w:t>
      </w:r>
      <w:proofErr w:type="spellEnd"/>
      <w:r w:rsidRPr="00FD32EC">
        <w:rPr>
          <w:rStyle w:val="hps"/>
          <w:lang w:val="sr-Cyrl-RS"/>
        </w:rPr>
        <w:t xml:space="preserve"> интервала </w:t>
      </w:r>
      <w:r w:rsidR="00E512CB" w:rsidRPr="00FD32EC">
        <w:rPr>
          <w:rStyle w:val="hps"/>
          <w:lang w:val="sr-Cyrl-RS"/>
        </w:rPr>
        <w:t>наведеног нивоа поверења</w:t>
      </w:r>
      <w:r w:rsidRPr="00FD32EC">
        <w:rPr>
          <w:rStyle w:val="hps"/>
          <w:lang w:val="sr-Cyrl-RS"/>
        </w:rPr>
        <w:t>.</w:t>
      </w:r>
    </w:p>
    <w:p w14:paraId="0E9BAEC7" w14:textId="1AF8C910" w:rsidR="0040440D" w:rsidRPr="00FD32EC" w:rsidRDefault="0040440D" w:rsidP="0054763C">
      <w:p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 xml:space="preserve">Стандардна несигурност обухвата статистичке и експерименталне компоненте и, у мери у којој је то могуће, </w:t>
      </w:r>
      <w:r w:rsidR="00F704A8" w:rsidRPr="00FD32EC">
        <w:rPr>
          <w:rStyle w:val="hps"/>
          <w:lang w:val="sr-Cyrl-RS"/>
        </w:rPr>
        <w:t>процењени утицај</w:t>
      </w:r>
      <w:r w:rsidRPr="00FD32EC">
        <w:rPr>
          <w:rStyle w:val="hps"/>
          <w:lang w:val="sr-Cyrl-RS"/>
        </w:rPr>
        <w:t xml:space="preserve"> </w:t>
      </w:r>
      <w:proofErr w:type="spellStart"/>
      <w:r w:rsidRPr="00FD32EC">
        <w:rPr>
          <w:rStyle w:val="hps"/>
          <w:lang w:val="sr-Cyrl-RS"/>
        </w:rPr>
        <w:t>узорковања</w:t>
      </w:r>
      <w:proofErr w:type="spellEnd"/>
      <w:r w:rsidRPr="00FD32EC">
        <w:rPr>
          <w:rStyle w:val="hps"/>
          <w:lang w:val="sr-Cyrl-RS"/>
        </w:rPr>
        <w:t xml:space="preserve"> или других аспеката који могу утицати на укупну несигурност мерења.</w:t>
      </w:r>
    </w:p>
    <w:p w14:paraId="058CC703" w14:textId="4B4F51BA" w:rsidR="0040440D" w:rsidRPr="00FD32EC" w:rsidRDefault="0040440D" w:rsidP="0054763C">
      <w:p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t xml:space="preserve">Ако </w:t>
      </w:r>
      <w:r w:rsidR="00F704A8" w:rsidRPr="00FD32EC">
        <w:rPr>
          <w:rStyle w:val="hps"/>
          <w:lang w:val="sr-Cyrl-RS"/>
        </w:rPr>
        <w:t xml:space="preserve">приказана мерна </w:t>
      </w:r>
      <w:r w:rsidRPr="00FD32EC">
        <w:rPr>
          <w:rStyle w:val="hps"/>
          <w:lang w:val="sr-Cyrl-RS"/>
        </w:rPr>
        <w:t xml:space="preserve">несигурност не обухвата све компоненте наведене у ставу 3, то се јасно наводи у извештају о </w:t>
      </w:r>
      <w:r w:rsidR="00A938A8" w:rsidRPr="00FD32EC">
        <w:rPr>
          <w:rStyle w:val="hps"/>
          <w:lang w:val="sr-Cyrl-RS"/>
        </w:rPr>
        <w:t>испитивању</w:t>
      </w:r>
      <w:r w:rsidRPr="00FD32EC">
        <w:rPr>
          <w:rStyle w:val="hps"/>
          <w:lang w:val="sr-Cyrl-RS"/>
        </w:rPr>
        <w:t>.</w:t>
      </w:r>
    </w:p>
    <w:p w14:paraId="6BB17CBE" w14:textId="14850726" w:rsidR="004107A7" w:rsidRPr="00FD32EC" w:rsidRDefault="0040440D" w:rsidP="0054763C">
      <w:pPr>
        <w:spacing w:after="120"/>
        <w:jc w:val="both"/>
        <w:rPr>
          <w:rStyle w:val="hps"/>
          <w:lang w:val="sr-Cyrl-RS"/>
        </w:rPr>
      </w:pPr>
      <w:r w:rsidRPr="00FD32EC">
        <w:rPr>
          <w:rStyle w:val="hps"/>
          <w:lang w:val="sr-Cyrl-RS"/>
        </w:rPr>
        <w:lastRenderedPageBreak/>
        <w:t xml:space="preserve">За мониторинг воде за пиће, мерне несигурности се израчунавају и пријављују како је прописано у </w:t>
      </w:r>
      <w:r w:rsidR="00E85EF7" w:rsidRPr="00FD32EC">
        <w:rPr>
          <w:rStyle w:val="hps"/>
          <w:lang w:val="sr-Cyrl-RS"/>
        </w:rPr>
        <w:t xml:space="preserve">Прилогу </w:t>
      </w:r>
      <w:r w:rsidRPr="00FD32EC">
        <w:rPr>
          <w:rStyle w:val="hps"/>
          <w:lang w:val="sr-Cyrl-RS"/>
        </w:rPr>
        <w:t>1, д</w:t>
      </w:r>
      <w:r w:rsidR="00F704A8" w:rsidRPr="00FD32EC">
        <w:rPr>
          <w:rStyle w:val="hps"/>
          <w:lang w:val="sr-Cyrl-RS"/>
        </w:rPr>
        <w:t>е</w:t>
      </w:r>
      <w:r w:rsidRPr="00FD32EC">
        <w:rPr>
          <w:rStyle w:val="hps"/>
          <w:lang w:val="sr-Cyrl-RS"/>
        </w:rPr>
        <w:t>о 2, напомена (2).</w:t>
      </w:r>
    </w:p>
    <w:p w14:paraId="1C1F802E" w14:textId="77777777" w:rsidR="00935364" w:rsidRPr="00FD32EC" w:rsidRDefault="00935364" w:rsidP="0054763C">
      <w:pPr>
        <w:tabs>
          <w:tab w:val="left" w:pos="426"/>
        </w:tabs>
        <w:spacing w:after="120"/>
        <w:jc w:val="both"/>
        <w:rPr>
          <w:rStyle w:val="hps"/>
        </w:rPr>
      </w:pPr>
    </w:p>
    <w:p w14:paraId="5CBC3B0C" w14:textId="77777777" w:rsidR="0054763C" w:rsidRPr="00FD32EC" w:rsidRDefault="0054763C" w:rsidP="0054763C">
      <w:pPr>
        <w:spacing w:after="120"/>
        <w:jc w:val="center"/>
        <w:rPr>
          <w:lang w:val="sr-Cyrl-RS"/>
        </w:rPr>
      </w:pPr>
    </w:p>
    <w:p w14:paraId="43872438" w14:textId="3A15A2D0" w:rsidR="00C41E91" w:rsidRPr="00FD32EC" w:rsidRDefault="00C41E91" w:rsidP="0054763C">
      <w:pPr>
        <w:tabs>
          <w:tab w:val="left" w:pos="1305"/>
        </w:tabs>
        <w:spacing w:after="120"/>
        <w:jc w:val="center"/>
        <w:rPr>
          <w:b/>
          <w:lang w:val="sr-Cyrl-RS"/>
        </w:rPr>
      </w:pPr>
    </w:p>
    <w:p w14:paraId="15120406" w14:textId="36A33913" w:rsidR="004107A7" w:rsidRPr="00FD32EC" w:rsidRDefault="0054763C" w:rsidP="0054763C">
      <w:pPr>
        <w:spacing w:after="120"/>
        <w:jc w:val="center"/>
        <w:rPr>
          <w:rStyle w:val="jlqj4b"/>
          <w:rFonts w:eastAsia="Calibri"/>
          <w:szCs w:val="22"/>
          <w:lang w:val="sr-Cyrl-RS"/>
        </w:rPr>
      </w:pPr>
      <w:r w:rsidRPr="00FD32EC">
        <w:rPr>
          <w:rStyle w:val="jlqj4b"/>
          <w:rFonts w:eastAsia="Calibri"/>
          <w:szCs w:val="22"/>
          <w:lang w:val="en-US"/>
        </w:rPr>
        <w:t>II</w:t>
      </w:r>
      <w:r w:rsidRPr="00FD32EC">
        <w:rPr>
          <w:rStyle w:val="jlqj4b"/>
          <w:lang w:val="sr-Cyrl-RS"/>
        </w:rPr>
        <w:t xml:space="preserve"> </w:t>
      </w:r>
      <w:r w:rsidR="004107A7" w:rsidRPr="00FD32EC">
        <w:rPr>
          <w:rStyle w:val="jlqj4b"/>
          <w:rFonts w:eastAsia="Calibri"/>
          <w:szCs w:val="22"/>
          <w:lang w:val="sr-Cyrl-RS"/>
        </w:rPr>
        <w:t>КОНТРОЛА САДРЖАЈА РАДИОНУКЛИДА</w:t>
      </w:r>
    </w:p>
    <w:p w14:paraId="2F4496C3" w14:textId="430FEF6C" w:rsidR="00FE4ADD" w:rsidRPr="00FD32EC" w:rsidRDefault="007D5B90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С</w:t>
      </w:r>
      <w:r w:rsidR="00FE4ADD" w:rsidRPr="00FD32EC">
        <w:rPr>
          <w:rFonts w:eastAsia="Times New Roman"/>
          <w:lang w:val="sr-Cyrl-RS" w:eastAsia="sr-Latn-RS"/>
        </w:rPr>
        <w:t>адржај радионуклида у води за пиће</w:t>
      </w:r>
    </w:p>
    <w:p w14:paraId="2DE681D1" w14:textId="2FE219AD" w:rsidR="000C4542" w:rsidRPr="00FD32EC" w:rsidRDefault="000C4542" w:rsidP="0054763C">
      <w:pPr>
        <w:spacing w:after="120"/>
        <w:jc w:val="center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F05DAF" w:rsidRPr="00FD32EC">
        <w:rPr>
          <w:rFonts w:eastAsia="Times New Roman"/>
          <w:lang w:val="sr-Cyrl-RS" w:eastAsia="sr-Latn-RS"/>
        </w:rPr>
        <w:t>9</w:t>
      </w:r>
      <w:r w:rsidR="00A334E0" w:rsidRPr="00FD32EC">
        <w:rPr>
          <w:rFonts w:eastAsia="Times New Roman"/>
          <w:lang w:val="sr-Cyrl-RS" w:eastAsia="sr-Latn-RS"/>
        </w:rPr>
        <w:t>.</w:t>
      </w:r>
    </w:p>
    <w:p w14:paraId="6D57EC73" w14:textId="004F33D7" w:rsidR="00ED1D88" w:rsidRPr="00FD32EC" w:rsidRDefault="00CC10D0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Показатељи</w:t>
      </w:r>
      <w:r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 xml:space="preserve">на основу којих се врши </w:t>
      </w:r>
      <w:proofErr w:type="spellStart"/>
      <w:r w:rsidRPr="00FD32EC">
        <w:rPr>
          <w:rFonts w:eastAsia="Times New Roman"/>
          <w:bCs/>
          <w:lang w:eastAsia="sr-Latn-RS"/>
        </w:rPr>
        <w:t>контрол</w:t>
      </w:r>
      <w:proofErr w:type="spellEnd"/>
      <w:r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радионуклида у</w:t>
      </w:r>
      <w:r w:rsidRPr="00FD32EC">
        <w:rPr>
          <w:rFonts w:eastAsia="Times New Roman"/>
          <w:lang w:val="sr-Cyrl-RS" w:eastAsia="sr-Latn-RS"/>
        </w:rPr>
        <w:t xml:space="preserve"> </w:t>
      </w:r>
      <w:proofErr w:type="spellStart"/>
      <w:r w:rsidR="007E1140" w:rsidRPr="00FD32EC">
        <w:rPr>
          <w:rFonts w:eastAsia="Times New Roman"/>
          <w:lang w:val="sr-Cyrl-RS" w:eastAsia="sr-Latn-RS"/>
        </w:rPr>
        <w:t>води</w:t>
      </w:r>
      <w:r w:rsidRPr="00FD32EC">
        <w:rPr>
          <w:rFonts w:eastAsia="Times New Roman"/>
          <w:lang w:val="sr-Cyrl-RS" w:eastAsia="sr-Latn-RS"/>
        </w:rPr>
        <w:t>вод</w:t>
      </w:r>
      <w:r w:rsidR="00ED1D88" w:rsidRPr="00FD32EC">
        <w:rPr>
          <w:rFonts w:eastAsia="Times New Roman"/>
          <w:lang w:val="sr-Cyrl-RS" w:eastAsia="sr-Latn-RS"/>
        </w:rPr>
        <w:t>и</w:t>
      </w:r>
      <w:proofErr w:type="spellEnd"/>
      <w:r w:rsidRPr="00FD32EC">
        <w:rPr>
          <w:rFonts w:eastAsia="Times New Roman"/>
          <w:lang w:val="sr-Cyrl-RS" w:eastAsia="sr-Latn-RS"/>
        </w:rPr>
        <w:t xml:space="preserve"> за пиће</w:t>
      </w:r>
      <w:r w:rsidR="007E5B54" w:rsidRPr="00FD32EC">
        <w:rPr>
          <w:rFonts w:eastAsia="Times New Roman"/>
          <w:lang w:val="sr-Cyrl-RS" w:eastAsia="sr-Latn-RS"/>
        </w:rPr>
        <w:t xml:space="preserve"> су</w:t>
      </w:r>
      <w:r w:rsidR="00ED1D88" w:rsidRPr="00FD32EC">
        <w:rPr>
          <w:rFonts w:eastAsia="Times New Roman"/>
          <w:lang w:val="sr-Cyrl-RS" w:eastAsia="sr-Latn-RS"/>
        </w:rPr>
        <w:t>:</w:t>
      </w:r>
    </w:p>
    <w:p w14:paraId="72986FF5" w14:textId="79846684" w:rsidR="00ED1D88" w:rsidRPr="00FD32EC" w:rsidRDefault="00CC10D0" w:rsidP="00B94669">
      <w:pPr>
        <w:pStyle w:val="ListParagraph"/>
        <w:numPr>
          <w:ilvl w:val="0"/>
          <w:numId w:val="21"/>
        </w:num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lang w:val="sr-Cyrl-RS"/>
        </w:rPr>
        <w:t>параметарске вредности и</w:t>
      </w:r>
    </w:p>
    <w:p w14:paraId="0386B460" w14:textId="675DC49F" w:rsidR="00ED1D88" w:rsidRPr="00FD32EC" w:rsidRDefault="00CC10D0" w:rsidP="00B94669">
      <w:pPr>
        <w:pStyle w:val="ListParagraph"/>
        <w:numPr>
          <w:ilvl w:val="0"/>
          <w:numId w:val="21"/>
        </w:num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lang w:val="sr-Cyrl-RS"/>
        </w:rPr>
        <w:t>изведене концентрације појединачних радионуклида</w:t>
      </w:r>
      <w:r w:rsidR="007E5B54" w:rsidRPr="00FD32EC">
        <w:rPr>
          <w:lang w:val="sr-Cyrl-RS"/>
        </w:rPr>
        <w:t xml:space="preserve">. </w:t>
      </w:r>
    </w:p>
    <w:p w14:paraId="7F0EEDC9" w14:textId="7E4CE7D8" w:rsidR="000C4542" w:rsidRPr="00FD32EC" w:rsidRDefault="000C4542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Параметарске вредности</w:t>
      </w:r>
      <w:r w:rsidR="00972DD1" w:rsidRPr="00FD32EC">
        <w:rPr>
          <w:rFonts w:eastAsia="Times New Roman"/>
          <w:bCs/>
          <w:lang w:val="sr-Cyrl-RS" w:eastAsia="sr-Latn-RS"/>
        </w:rPr>
        <w:t xml:space="preserve"> и изведене концент</w:t>
      </w:r>
      <w:r w:rsidR="007D5B90" w:rsidRPr="00FD32EC">
        <w:rPr>
          <w:rFonts w:eastAsia="Times New Roman"/>
          <w:bCs/>
          <w:lang w:val="sr-Cyrl-RS" w:eastAsia="sr-Latn-RS"/>
        </w:rPr>
        <w:t>р</w:t>
      </w:r>
      <w:r w:rsidR="00972DD1" w:rsidRPr="00FD32EC">
        <w:rPr>
          <w:rFonts w:eastAsia="Times New Roman"/>
          <w:bCs/>
          <w:lang w:val="sr-Cyrl-RS" w:eastAsia="sr-Latn-RS"/>
        </w:rPr>
        <w:t>ације радионуклида у</w:t>
      </w:r>
      <w:r w:rsidRPr="00FD32EC">
        <w:rPr>
          <w:rFonts w:eastAsia="Times New Roman"/>
          <w:bCs/>
          <w:lang w:val="sr-Cyrl-RS" w:eastAsia="sr-Latn-RS"/>
        </w:rPr>
        <w:t xml:space="preserve"> </w:t>
      </w:r>
      <w:r w:rsidR="00972DD1" w:rsidRPr="00FD32EC">
        <w:rPr>
          <w:rFonts w:eastAsia="Times New Roman"/>
          <w:bCs/>
          <w:lang w:val="sr-Cyrl-RS" w:eastAsia="sr-Latn-RS"/>
        </w:rPr>
        <w:t xml:space="preserve">води </w:t>
      </w:r>
      <w:r w:rsidRPr="00FD32EC">
        <w:rPr>
          <w:rFonts w:eastAsia="Times New Roman"/>
          <w:bCs/>
          <w:lang w:val="sr-Cyrl-RS" w:eastAsia="sr-Latn-RS"/>
        </w:rPr>
        <w:t xml:space="preserve">за пиће су дате у </w:t>
      </w:r>
      <w:r w:rsidR="00ED1D88" w:rsidRPr="00FD32EC">
        <w:rPr>
          <w:rFonts w:eastAsia="Times New Roman"/>
          <w:bCs/>
          <w:lang w:val="sr-Cyrl-RS" w:eastAsia="sr-Latn-RS"/>
        </w:rPr>
        <w:t>П</w:t>
      </w:r>
      <w:r w:rsidRPr="00FD32EC">
        <w:rPr>
          <w:rFonts w:eastAsia="Times New Roman"/>
          <w:bCs/>
          <w:lang w:val="sr-Cyrl-RS" w:eastAsia="sr-Latn-RS"/>
        </w:rPr>
        <w:t xml:space="preserve">рилогу </w:t>
      </w:r>
      <w:r w:rsidR="00452919" w:rsidRPr="00FD32EC">
        <w:rPr>
          <w:rFonts w:eastAsia="Times New Roman"/>
          <w:bCs/>
          <w:lang w:val="sr-Cyrl-RS" w:eastAsia="sr-Latn-RS"/>
        </w:rPr>
        <w:t>1</w:t>
      </w:r>
      <w:r w:rsidRPr="00FD32EC">
        <w:rPr>
          <w:rFonts w:eastAsia="Times New Roman"/>
          <w:bCs/>
          <w:lang w:eastAsia="sr-Latn-RS"/>
        </w:rPr>
        <w:t>.</w:t>
      </w:r>
    </w:p>
    <w:p w14:paraId="6CFE0E72" w14:textId="15A856AD" w:rsidR="00E442E9" w:rsidRPr="00FD32EC" w:rsidRDefault="000C4542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Ако су измерене вредности укупне алфа и укупне бета активности у води за пиће изнад вредности датих у </w:t>
      </w:r>
      <w:r w:rsidR="00ED1D88" w:rsidRPr="00FD32EC">
        <w:rPr>
          <w:rFonts w:eastAsia="Times New Roman"/>
          <w:bCs/>
          <w:lang w:val="sr-Cyrl-RS" w:eastAsia="sr-Latn-RS"/>
        </w:rPr>
        <w:t>П</w:t>
      </w:r>
      <w:r w:rsidRPr="00FD32EC">
        <w:rPr>
          <w:rFonts w:eastAsia="Times New Roman"/>
          <w:bCs/>
          <w:lang w:val="sr-Cyrl-RS" w:eastAsia="sr-Latn-RS"/>
        </w:rPr>
        <w:t>рилогу</w:t>
      </w:r>
      <w:r w:rsidRPr="00FD32EC">
        <w:rPr>
          <w:rFonts w:eastAsia="Times New Roman"/>
          <w:bCs/>
          <w:lang w:eastAsia="sr-Latn-RS"/>
        </w:rPr>
        <w:t xml:space="preserve"> </w:t>
      </w:r>
      <w:r w:rsidR="00452919" w:rsidRPr="00FD32EC">
        <w:rPr>
          <w:rFonts w:eastAsia="Times New Roman"/>
          <w:bCs/>
          <w:lang w:val="sr-Cyrl-RS" w:eastAsia="sr-Latn-RS"/>
        </w:rPr>
        <w:t>1</w:t>
      </w:r>
      <w:r w:rsidRPr="00FD32EC">
        <w:rPr>
          <w:rFonts w:eastAsia="Times New Roman"/>
          <w:bCs/>
          <w:lang w:val="sr-Cyrl-RS" w:eastAsia="sr-Latn-RS"/>
        </w:rPr>
        <w:t>, врши се идентификација</w:t>
      </w:r>
      <w:r w:rsidR="00E442E9" w:rsidRPr="00FD32EC">
        <w:rPr>
          <w:rFonts w:eastAsia="Times New Roman"/>
          <w:bCs/>
          <w:lang w:val="sr-Cyrl-RS" w:eastAsia="sr-Latn-RS"/>
        </w:rPr>
        <w:t xml:space="preserve"> радионуклида</w:t>
      </w:r>
      <w:r w:rsidRPr="00FD32EC">
        <w:rPr>
          <w:rFonts w:eastAsia="Times New Roman"/>
          <w:bCs/>
          <w:lang w:val="sr-Cyrl-RS" w:eastAsia="sr-Latn-RS"/>
        </w:rPr>
        <w:t xml:space="preserve"> и одређивање садржаја </w:t>
      </w:r>
      <w:r w:rsidR="00E442E9" w:rsidRPr="00FD32EC">
        <w:rPr>
          <w:rFonts w:eastAsia="Times New Roman"/>
          <w:bCs/>
          <w:lang w:val="sr-Cyrl-RS" w:eastAsia="sr-Latn-RS"/>
        </w:rPr>
        <w:t xml:space="preserve">идентификованих </w:t>
      </w:r>
      <w:r w:rsidRPr="00FD32EC">
        <w:rPr>
          <w:rFonts w:eastAsia="Times New Roman"/>
          <w:bCs/>
          <w:lang w:val="sr-Cyrl-RS" w:eastAsia="sr-Latn-RS"/>
        </w:rPr>
        <w:t>радионуклида.</w:t>
      </w:r>
      <w:r w:rsidR="00635DC4" w:rsidRPr="00FD32EC">
        <w:rPr>
          <w:rFonts w:eastAsia="Times New Roman"/>
          <w:bCs/>
          <w:lang w:val="sr-Cyrl-RS" w:eastAsia="sr-Latn-RS"/>
        </w:rPr>
        <w:t xml:space="preserve"> </w:t>
      </w:r>
    </w:p>
    <w:p w14:paraId="11CB1EAE" w14:textId="01ECFF4D" w:rsidR="009A0586" w:rsidRPr="00FD32EC" w:rsidRDefault="00635DC4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Садржај </w:t>
      </w:r>
      <w:r w:rsidR="00E442E9" w:rsidRPr="00FD32EC">
        <w:rPr>
          <w:rFonts w:eastAsia="Times New Roman"/>
          <w:bCs/>
          <w:lang w:val="sr-Cyrl-RS" w:eastAsia="sr-Latn-RS"/>
        </w:rPr>
        <w:t>идентификованих</w:t>
      </w:r>
      <w:r w:rsidRPr="00FD32EC">
        <w:rPr>
          <w:rFonts w:eastAsia="Times New Roman"/>
          <w:bCs/>
          <w:lang w:val="sr-Cyrl-RS" w:eastAsia="sr-Latn-RS"/>
        </w:rPr>
        <w:t xml:space="preserve"> радионуклида пореди се са изведеним концентрацијама радионуклида у води за пиће. </w:t>
      </w:r>
    </w:p>
    <w:p w14:paraId="2FBD0A51" w14:textId="77777777" w:rsidR="008F185F" w:rsidRPr="00FD32EC" w:rsidRDefault="000C4542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Вода за пиће се не може забранити на основу измерених вредности укупне алфа и укупне бета активности, уколико није одређен садржај појединачних радионуклида.</w:t>
      </w:r>
      <w:r w:rsidR="009A0586" w:rsidRPr="00FD32EC">
        <w:rPr>
          <w:rFonts w:eastAsia="Times New Roman"/>
          <w:bCs/>
          <w:lang w:val="sr-Cyrl-RS" w:eastAsia="sr-Latn-RS"/>
        </w:rPr>
        <w:t xml:space="preserve"> </w:t>
      </w:r>
    </w:p>
    <w:p w14:paraId="7AC5476E" w14:textId="0241851E" w:rsidR="000C4542" w:rsidRPr="00FD32EC" w:rsidRDefault="00E60088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Вода за пиће у којој </w:t>
      </w:r>
      <w:r w:rsidR="009A0586" w:rsidRPr="00FD32EC">
        <w:rPr>
          <w:rFonts w:eastAsia="Times New Roman"/>
          <w:bCs/>
          <w:lang w:val="sr-Cyrl-RS" w:eastAsia="sr-Latn-RS"/>
        </w:rPr>
        <w:t>садржај појединачних радионуклида прелази изведене конц</w:t>
      </w:r>
      <w:r w:rsidRPr="00FD32EC">
        <w:rPr>
          <w:rFonts w:eastAsia="Times New Roman"/>
          <w:bCs/>
          <w:lang w:val="sr-Cyrl-RS" w:eastAsia="sr-Latn-RS"/>
        </w:rPr>
        <w:t>ентрације радионуклида се забрањује за употребу</w:t>
      </w:r>
      <w:r w:rsidR="009A0586" w:rsidRPr="00FD32EC">
        <w:rPr>
          <w:rFonts w:eastAsia="Times New Roman"/>
          <w:bCs/>
          <w:lang w:val="sr-Cyrl-RS" w:eastAsia="sr-Latn-RS"/>
        </w:rPr>
        <w:t>.</w:t>
      </w:r>
    </w:p>
    <w:p w14:paraId="37A5E100" w14:textId="77777777" w:rsidR="0054763C" w:rsidRPr="00FD32EC" w:rsidRDefault="0054763C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</w:p>
    <w:p w14:paraId="21E57EED" w14:textId="062BDCE7" w:rsidR="007A5B97" w:rsidRPr="00FD32EC" w:rsidRDefault="007A5B97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Изведене концентрације </w:t>
      </w:r>
      <w:r w:rsidR="001E048C" w:rsidRPr="00FD32EC">
        <w:rPr>
          <w:rFonts w:eastAsia="Times New Roman"/>
          <w:lang w:val="sr-Cyrl-RS" w:eastAsia="sr-Latn-RS"/>
        </w:rPr>
        <w:t>р</w:t>
      </w:r>
      <w:r w:rsidR="00FE4ADD" w:rsidRPr="00FD32EC">
        <w:rPr>
          <w:rFonts w:eastAsia="Times New Roman"/>
          <w:lang w:val="sr-Cyrl-RS" w:eastAsia="sr-Latn-RS"/>
        </w:rPr>
        <w:t>а</w:t>
      </w:r>
      <w:r w:rsidR="001E048C" w:rsidRPr="00FD32EC">
        <w:rPr>
          <w:rFonts w:eastAsia="Times New Roman"/>
          <w:lang w:val="sr-Cyrl-RS" w:eastAsia="sr-Latn-RS"/>
        </w:rPr>
        <w:t xml:space="preserve">дионуклида </w:t>
      </w:r>
      <w:r w:rsidRPr="00FD32EC">
        <w:rPr>
          <w:rFonts w:eastAsia="Times New Roman"/>
          <w:lang w:val="sr-Cyrl-RS" w:eastAsia="sr-Latn-RS"/>
        </w:rPr>
        <w:t>у води за пиће</w:t>
      </w:r>
    </w:p>
    <w:p w14:paraId="14B9875B" w14:textId="633A5C06" w:rsidR="002A33E2" w:rsidRPr="00FD32EC" w:rsidRDefault="002A33E2" w:rsidP="0054763C">
      <w:pPr>
        <w:spacing w:after="120"/>
        <w:jc w:val="center"/>
        <w:rPr>
          <w:rFonts w:eastAsia="Times New Roman"/>
          <w:b/>
          <w:bCs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1D3803" w:rsidRPr="00FD32EC">
        <w:rPr>
          <w:rFonts w:eastAsia="Times New Roman"/>
          <w:lang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0</w:t>
      </w:r>
      <w:r w:rsidR="001E3D44" w:rsidRPr="00FD32EC">
        <w:rPr>
          <w:rFonts w:eastAsia="Times New Roman"/>
          <w:lang w:val="sr-Cyrl-RS" w:eastAsia="sr-Latn-RS"/>
        </w:rPr>
        <w:t>.</w:t>
      </w:r>
      <w:r w:rsidR="001E3D44" w:rsidRPr="00FD32EC">
        <w:rPr>
          <w:rFonts w:eastAsia="Times New Roman"/>
          <w:b/>
          <w:bCs/>
          <w:lang w:eastAsia="sr-Latn-RS"/>
        </w:rPr>
        <w:t xml:space="preserve"> </w:t>
      </w:r>
    </w:p>
    <w:p w14:paraId="2C8A789D" w14:textId="77777777" w:rsidR="00C47D5F" w:rsidRPr="00FD32EC" w:rsidRDefault="002A33E2" w:rsidP="0054763C">
      <w:pPr>
        <w:spacing w:after="120"/>
        <w:jc w:val="both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Изведене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концентрациј</w:t>
      </w:r>
      <w:r w:rsidR="00C92110" w:rsidRPr="00FD32EC">
        <w:rPr>
          <w:rFonts w:eastAsia="Times New Roman"/>
          <w:lang w:eastAsia="sr-Latn-RS"/>
        </w:rPr>
        <w:t>е</w:t>
      </w:r>
      <w:proofErr w:type="spellEnd"/>
      <w:r w:rsidR="00C92110" w:rsidRPr="00FD32EC">
        <w:rPr>
          <w:rFonts w:eastAsia="Times New Roman"/>
          <w:lang w:eastAsia="sr-Latn-RS"/>
        </w:rPr>
        <w:t xml:space="preserve"> радионуклида у </w:t>
      </w:r>
      <w:proofErr w:type="spellStart"/>
      <w:r w:rsidR="00C92110" w:rsidRPr="00FD32EC">
        <w:rPr>
          <w:rFonts w:eastAsia="Times New Roman"/>
          <w:lang w:eastAsia="sr-Latn-RS"/>
        </w:rPr>
        <w:t>води</w:t>
      </w:r>
      <w:proofErr w:type="spellEnd"/>
      <w:r w:rsidR="00C92110" w:rsidRPr="00FD32EC">
        <w:rPr>
          <w:rFonts w:eastAsia="Times New Roman"/>
          <w:lang w:eastAsia="sr-Latn-RS"/>
        </w:rPr>
        <w:t xml:space="preserve"> </w:t>
      </w:r>
      <w:proofErr w:type="spellStart"/>
      <w:r w:rsidR="00C92110" w:rsidRPr="00FD32EC">
        <w:rPr>
          <w:rFonts w:eastAsia="Times New Roman"/>
          <w:lang w:eastAsia="sr-Latn-RS"/>
        </w:rPr>
        <w:t>за</w:t>
      </w:r>
      <w:proofErr w:type="spellEnd"/>
      <w:r w:rsidR="00C92110" w:rsidRPr="00FD32EC">
        <w:rPr>
          <w:rFonts w:eastAsia="Times New Roman"/>
          <w:lang w:eastAsia="sr-Latn-RS"/>
        </w:rPr>
        <w:t xml:space="preserve"> </w:t>
      </w:r>
      <w:proofErr w:type="spellStart"/>
      <w:r w:rsidR="00C92110" w:rsidRPr="00FD32EC">
        <w:rPr>
          <w:rFonts w:eastAsia="Times New Roman"/>
          <w:lang w:eastAsia="sr-Latn-RS"/>
        </w:rPr>
        <w:t>пиће</w:t>
      </w:r>
      <w:proofErr w:type="spellEnd"/>
      <w:r w:rsidR="00C92110" w:rsidRPr="00FD32EC">
        <w:rPr>
          <w:rFonts w:eastAsia="Times New Roman"/>
          <w:lang w:eastAsia="sr-Latn-RS"/>
        </w:rPr>
        <w:t xml:space="preserve">, </w:t>
      </w:r>
      <w:proofErr w:type="spellStart"/>
      <w:r w:rsidR="00BC3A28" w:rsidRPr="00FD32EC">
        <w:t>IK</w:t>
      </w:r>
      <w:r w:rsidR="00BC3A28" w:rsidRPr="00FD32EC">
        <w:rPr>
          <w:vertAlign w:val="subscript"/>
        </w:rPr>
        <w:t>v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становништво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израчунавају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следећи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начин</w:t>
      </w:r>
      <w:proofErr w:type="spellEnd"/>
      <w:r w:rsidRPr="00FD32EC">
        <w:rPr>
          <w:rFonts w:eastAsia="Times New Roman"/>
          <w:lang w:eastAsia="sr-Latn-RS"/>
        </w:rPr>
        <w:t xml:space="preserve">: </w:t>
      </w:r>
    </w:p>
    <w:p w14:paraId="6FA9FA21" w14:textId="5BE25AF1" w:rsidR="00CC4491" w:rsidRPr="00FD32EC" w:rsidRDefault="0028758C" w:rsidP="0054763C">
      <w:pPr>
        <w:spacing w:after="120"/>
        <w:rPr>
          <w:rFonts w:eastAsia="Times New Roman"/>
          <w:lang w:eastAsia="sr-Latn-R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sr-Latn-RS"/>
                </w:rPr>
              </m:ctrlPr>
            </m:sSubPr>
            <m:e>
              <m:r>
                <w:rPr>
                  <w:rFonts w:ascii="Cambria Math" w:eastAsia="Times New Roman" w:hAnsi="Cambria Math"/>
                  <w:lang w:eastAsia="sr-Latn-RS"/>
                </w:rPr>
                <m:t>IK</m:t>
              </m:r>
            </m:e>
            <m:sub>
              <m:r>
                <w:rPr>
                  <w:rFonts w:ascii="Cambria Math" w:eastAsia="Times New Roman" w:hAnsi="Cambria Math"/>
                  <w:lang w:eastAsia="sr-Latn-RS"/>
                </w:rPr>
                <m:t>v</m:t>
              </m:r>
            </m:sub>
          </m:sSub>
          <m:r>
            <w:rPr>
              <w:rFonts w:ascii="Cambria Math" w:eastAsia="Times New Roman" w:hAnsi="Cambria Math"/>
              <w:lang w:eastAsia="sr-Latn-R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eastAsia="sr-Latn-RS"/>
                </w:rPr>
              </m:ctrlPr>
            </m:fPr>
            <m:num>
              <m:r>
                <w:rPr>
                  <w:rFonts w:ascii="Cambria Math" w:eastAsia="Times New Roman" w:hAnsi="Cambria Math"/>
                  <w:lang w:eastAsia="sr-Latn-RS"/>
                </w:rPr>
                <m:t>ID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sr-Latn-R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sr-Latn-RS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lang w:eastAsia="sr-Latn-R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lang w:eastAsia="sr-Latn-RS"/>
                        </w:rPr>
                        <m:t>g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/>
                      <w:lang w:eastAsia="sr-Latn-RS"/>
                    </w:rPr>
                    <m:t>n,ing</m:t>
                  </m:r>
                </m:sub>
              </m:sSub>
              <m:r>
                <w:rPr>
                  <w:rFonts w:ascii="Cambria Math" w:eastAsia="Times New Roman" w:hAnsi="Cambria Math"/>
                  <w:lang w:eastAsia="sr-Latn-R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sr-Latn-R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sr-Latn-R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sr-Latn-RS"/>
                    </w:rPr>
                    <m:t>v</m:t>
                  </m:r>
                </m:sub>
              </m:sSub>
            </m:den>
          </m:f>
        </m:oMath>
      </m:oMathPara>
    </w:p>
    <w:p w14:paraId="176BACC4" w14:textId="77777777" w:rsidR="002A33E2" w:rsidRPr="00FD32EC" w:rsidRDefault="002A33E2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где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су</w:t>
      </w:r>
      <w:proofErr w:type="spellEnd"/>
      <w:r w:rsidRPr="00FD32EC">
        <w:rPr>
          <w:rFonts w:eastAsia="Times New Roman"/>
          <w:lang w:eastAsia="sr-Latn-RS"/>
        </w:rPr>
        <w:t xml:space="preserve">: </w:t>
      </w:r>
    </w:p>
    <w:p w14:paraId="18CFA9BB" w14:textId="66357FAA" w:rsidR="002A33E2" w:rsidRPr="00FD32EC" w:rsidRDefault="00E442E9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lastRenderedPageBreak/>
        <w:t>I</w:t>
      </w:r>
      <w:r w:rsidR="00C47D5F" w:rsidRPr="00FD32EC">
        <w:rPr>
          <w:rFonts w:eastAsia="Times New Roman"/>
          <w:lang w:eastAsia="sr-Latn-RS"/>
        </w:rPr>
        <w:t>D</w:t>
      </w:r>
      <w:r w:rsidR="002A33E2"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eastAsia="sr-Latn-RS"/>
        </w:rPr>
        <w:t>–</w:t>
      </w:r>
      <w:r w:rsidR="002A33E2"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val="sr-Cyrl-RS" w:eastAsia="sr-Latn-RS"/>
        </w:rPr>
        <w:t>Индикативна доза</w:t>
      </w:r>
      <w:r w:rsidR="002A33E2" w:rsidRPr="00FD32EC">
        <w:rPr>
          <w:rFonts w:eastAsia="Times New Roman"/>
          <w:lang w:eastAsia="sr-Latn-RS"/>
        </w:rPr>
        <w:t xml:space="preserve">; </w:t>
      </w:r>
    </w:p>
    <w:p w14:paraId="71AF2C32" w14:textId="77777777" w:rsidR="00C21591" w:rsidRPr="00FD32EC" w:rsidRDefault="00C21591" w:rsidP="0054763C">
      <w:pPr>
        <w:spacing w:after="120"/>
        <w:rPr>
          <w:lang w:val="sr-Cyrl-RS"/>
        </w:rPr>
      </w:pPr>
      <w:r w:rsidRPr="00FD32EC">
        <w:t>e(g)</w:t>
      </w:r>
      <w:proofErr w:type="spellStart"/>
      <w:r w:rsidRPr="00FD32EC">
        <w:rPr>
          <w:vertAlign w:val="subscript"/>
        </w:rPr>
        <w:t>n,ing</w:t>
      </w:r>
      <w:proofErr w:type="spellEnd"/>
      <w:r w:rsidRPr="00FD32EC">
        <w:t xml:space="preserve"> [</w:t>
      </w:r>
      <w:proofErr w:type="spellStart"/>
      <w:r w:rsidRPr="00FD32EC">
        <w:t>Sv</w:t>
      </w:r>
      <w:proofErr w:type="spellEnd"/>
      <w:r w:rsidRPr="00FD32EC">
        <w:t>/</w:t>
      </w:r>
      <w:proofErr w:type="spellStart"/>
      <w:r w:rsidRPr="00FD32EC">
        <w:t>Bq</w:t>
      </w:r>
      <w:proofErr w:type="spellEnd"/>
      <w:r w:rsidRPr="00FD32EC">
        <w:t>]</w:t>
      </w:r>
      <w:r w:rsidRPr="00FD32EC">
        <w:rPr>
          <w:lang w:val="sr-Cyrl-RS"/>
        </w:rPr>
        <w:t xml:space="preserve"> – примљена ефективна доза при јединичном уношењу радионуклида </w:t>
      </w:r>
      <w:r w:rsidR="002400CB" w:rsidRPr="00FD32EC">
        <w:rPr>
          <w:b/>
        </w:rPr>
        <w:t>n</w:t>
      </w:r>
      <w:r w:rsidR="002400CB" w:rsidRPr="00FD32EC">
        <w:t xml:space="preserve"> </w:t>
      </w:r>
      <w:proofErr w:type="spellStart"/>
      <w:r w:rsidRPr="00FD32EC">
        <w:rPr>
          <w:lang w:val="sr-Cyrl-RS"/>
        </w:rPr>
        <w:t>ингестијом</w:t>
      </w:r>
      <w:proofErr w:type="spellEnd"/>
    </w:p>
    <w:p w14:paraId="683F5C05" w14:textId="7218BA64" w:rsidR="002A33E2" w:rsidRPr="00FD32EC" w:rsidRDefault="002A33E2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V</w:t>
      </w:r>
      <w:r w:rsidR="00CC4491" w:rsidRPr="00FD32EC">
        <w:rPr>
          <w:rFonts w:eastAsia="Times New Roman"/>
          <w:vertAlign w:val="subscript"/>
          <w:lang w:eastAsia="sr-Latn-RS"/>
        </w:rPr>
        <w:t>v</w:t>
      </w:r>
      <w:proofErr w:type="spellEnd"/>
      <w:r w:rsidRPr="00FD32EC">
        <w:rPr>
          <w:rFonts w:eastAsia="Times New Roman"/>
          <w:lang w:eastAsia="sr-Latn-RS"/>
        </w:rPr>
        <w:t xml:space="preserve"> [</w:t>
      </w:r>
      <w:r w:rsidR="00D74C3B" w:rsidRPr="00FD32EC">
        <w:rPr>
          <w:rFonts w:eastAsia="Times New Roman"/>
          <w:lang w:eastAsia="sr-Latn-RS"/>
        </w:rPr>
        <w:t>l</w:t>
      </w:r>
      <w:r w:rsidRPr="00FD32EC">
        <w:rPr>
          <w:rFonts w:eastAsia="Times New Roman"/>
          <w:lang w:eastAsia="sr-Latn-RS"/>
        </w:rPr>
        <w:t xml:space="preserve">] - </w:t>
      </w:r>
      <w:proofErr w:type="spellStart"/>
      <w:r w:rsidRPr="00FD32EC">
        <w:rPr>
          <w:rFonts w:eastAsia="Times New Roman"/>
          <w:lang w:eastAsia="sr-Latn-RS"/>
        </w:rPr>
        <w:t>просечан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годишњи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унос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воде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CA30E3" w:rsidRPr="00FD32EC">
        <w:rPr>
          <w:rFonts w:eastAsia="Times New Roman"/>
          <w:lang w:val="sr-Cyrl-RS" w:eastAsia="sr-Latn-RS"/>
        </w:rPr>
        <w:t>за пиће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становнику</w:t>
      </w:r>
      <w:proofErr w:type="spellEnd"/>
      <w:r w:rsidRPr="00FD32EC">
        <w:rPr>
          <w:rFonts w:eastAsia="Times New Roman"/>
          <w:lang w:eastAsia="sr-Latn-RS"/>
        </w:rPr>
        <w:t xml:space="preserve"> (730 </w:t>
      </w:r>
      <w:r w:rsidR="00D74C3B" w:rsidRPr="00FD32EC">
        <w:rPr>
          <w:rFonts w:eastAsia="Times New Roman"/>
          <w:lang w:eastAsia="sr-Latn-RS"/>
        </w:rPr>
        <w:t>l</w:t>
      </w:r>
      <w:r w:rsidRPr="00FD32EC">
        <w:rPr>
          <w:rFonts w:eastAsia="Times New Roman"/>
          <w:lang w:eastAsia="sr-Latn-RS"/>
        </w:rPr>
        <w:t>)</w:t>
      </w:r>
      <w:r w:rsidR="00235AEE" w:rsidRPr="00FD32EC">
        <w:rPr>
          <w:rFonts w:eastAsia="Times New Roman"/>
          <w:lang w:val="sr-Cyrl-RS" w:eastAsia="sr-Latn-RS"/>
        </w:rPr>
        <w:t>, према подацима Светске здравствене организације</w:t>
      </w:r>
      <w:r w:rsidRPr="00FD32EC">
        <w:rPr>
          <w:rFonts w:eastAsia="Times New Roman"/>
          <w:lang w:eastAsia="sr-Latn-RS"/>
        </w:rPr>
        <w:t>.</w:t>
      </w:r>
    </w:p>
    <w:p w14:paraId="61BA0E58" w14:textId="70EFAC9E" w:rsidR="0066559B" w:rsidRPr="00FD32EC" w:rsidRDefault="00CC4491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Индикативна доза и и</w:t>
      </w:r>
      <w:r w:rsidR="0066559B" w:rsidRPr="00FD32EC">
        <w:rPr>
          <w:rFonts w:eastAsia="Times New Roman"/>
          <w:lang w:val="sr-Cyrl-RS" w:eastAsia="sr-Latn-RS"/>
        </w:rPr>
        <w:t xml:space="preserve">зведене концентрације појединачних радионуклида у води </w:t>
      </w:r>
      <w:r w:rsidR="00BC31DF" w:rsidRPr="00FD32EC">
        <w:rPr>
          <w:rFonts w:eastAsia="Times New Roman"/>
          <w:lang w:val="sr-Cyrl-RS" w:eastAsia="sr-Latn-RS"/>
        </w:rPr>
        <w:t>за пиће</w:t>
      </w:r>
      <w:r w:rsidR="0066559B" w:rsidRPr="00FD32EC">
        <w:rPr>
          <w:rFonts w:eastAsia="Times New Roman"/>
          <w:lang w:val="sr-Cyrl-RS" w:eastAsia="sr-Latn-RS"/>
        </w:rPr>
        <w:t xml:space="preserve"> су наведен</w:t>
      </w:r>
      <w:r w:rsidRPr="00FD32EC">
        <w:rPr>
          <w:rFonts w:eastAsia="Times New Roman"/>
          <w:lang w:val="sr-Cyrl-RS" w:eastAsia="sr-Latn-RS"/>
        </w:rPr>
        <w:t>и</w:t>
      </w:r>
      <w:r w:rsidR="0066559B" w:rsidRPr="00FD32EC">
        <w:rPr>
          <w:rFonts w:eastAsia="Times New Roman"/>
          <w:lang w:val="sr-Cyrl-RS" w:eastAsia="sr-Latn-RS"/>
        </w:rPr>
        <w:t xml:space="preserve"> у </w:t>
      </w:r>
      <w:r w:rsidR="00ED1D88" w:rsidRPr="00FD32EC">
        <w:rPr>
          <w:rFonts w:eastAsia="Times New Roman"/>
          <w:lang w:val="sr-Cyrl-RS" w:eastAsia="sr-Latn-RS"/>
        </w:rPr>
        <w:t>П</w:t>
      </w:r>
      <w:r w:rsidR="0066559B" w:rsidRPr="00FD32EC">
        <w:rPr>
          <w:rFonts w:eastAsia="Times New Roman"/>
          <w:lang w:val="sr-Cyrl-RS" w:eastAsia="sr-Latn-RS"/>
        </w:rPr>
        <w:t xml:space="preserve">рилогу </w:t>
      </w:r>
      <w:r w:rsidR="00452919" w:rsidRPr="00FD32EC">
        <w:rPr>
          <w:rFonts w:eastAsia="Times New Roman"/>
          <w:lang w:val="sr-Cyrl-RS" w:eastAsia="sr-Latn-RS"/>
        </w:rPr>
        <w:t>1</w:t>
      </w:r>
      <w:r w:rsidR="0066559B" w:rsidRPr="00FD32EC">
        <w:rPr>
          <w:rFonts w:eastAsia="Times New Roman"/>
          <w:lang w:val="sr-Cyrl-RS" w:eastAsia="sr-Latn-RS"/>
        </w:rPr>
        <w:t xml:space="preserve"> </w:t>
      </w:r>
      <w:r w:rsidR="00051D5C" w:rsidRPr="00FD32EC">
        <w:rPr>
          <w:rFonts w:eastAsia="Times New Roman"/>
          <w:lang w:val="sr-Cyrl-RS" w:eastAsia="sr-Latn-RS"/>
        </w:rPr>
        <w:t>овог правилника.</w:t>
      </w:r>
    </w:p>
    <w:p w14:paraId="6CBFB207" w14:textId="77777777" w:rsidR="0054763C" w:rsidRPr="00FD32EC" w:rsidRDefault="0054763C" w:rsidP="0054763C">
      <w:pPr>
        <w:spacing w:after="120"/>
        <w:rPr>
          <w:rFonts w:eastAsia="Times New Roman"/>
          <w:lang w:val="sr-Cyrl-RS" w:eastAsia="sr-Latn-RS"/>
        </w:rPr>
      </w:pPr>
    </w:p>
    <w:p w14:paraId="03AD924C" w14:textId="0A1A906E" w:rsidR="00606C43" w:rsidRPr="00FD32EC" w:rsidRDefault="00606C43" w:rsidP="0054763C">
      <w:pPr>
        <w:spacing w:after="120"/>
        <w:jc w:val="center"/>
      </w:pPr>
      <w:bookmarkStart w:id="3" w:name="clan_6"/>
      <w:bookmarkStart w:id="4" w:name="clan_7"/>
      <w:bookmarkEnd w:id="3"/>
      <w:bookmarkEnd w:id="4"/>
      <w:r w:rsidRPr="00FD32EC">
        <w:rPr>
          <w:rFonts w:eastAsia="Times New Roman"/>
          <w:lang w:val="sr-Cyrl-RS" w:eastAsia="sr-Latn-RS"/>
        </w:rPr>
        <w:t>Садржај радионуклида у храни</w:t>
      </w:r>
    </w:p>
    <w:p w14:paraId="5E69F8B9" w14:textId="20AB9B0E" w:rsidR="0054763C" w:rsidRPr="00FD32EC" w:rsidRDefault="0054763C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Члан 1</w:t>
      </w:r>
      <w:r w:rsidR="00F05DAF" w:rsidRPr="00FD32EC">
        <w:rPr>
          <w:rFonts w:eastAsia="Times New Roman"/>
          <w:lang w:val="sr-Cyrl-RS" w:eastAsia="sr-Latn-RS"/>
        </w:rPr>
        <w:t>1</w:t>
      </w:r>
      <w:r w:rsidRPr="00FD32EC">
        <w:rPr>
          <w:rFonts w:eastAsia="Times New Roman"/>
          <w:lang w:val="sr-Cyrl-RS" w:eastAsia="sr-Latn-RS"/>
        </w:rPr>
        <w:t>.</w:t>
      </w:r>
    </w:p>
    <w:p w14:paraId="062665C3" w14:textId="5D72708E" w:rsidR="00606C43" w:rsidRPr="00FD32EC" w:rsidRDefault="00975A9B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Показатељи</w:t>
      </w:r>
      <w:r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 xml:space="preserve">на основу којих се врши </w:t>
      </w:r>
      <w:proofErr w:type="spellStart"/>
      <w:r w:rsidRPr="00FD32EC">
        <w:rPr>
          <w:rFonts w:eastAsia="Times New Roman"/>
          <w:bCs/>
          <w:lang w:eastAsia="sr-Latn-RS"/>
        </w:rPr>
        <w:t>контрол</w:t>
      </w:r>
      <w:proofErr w:type="spellEnd"/>
      <w:r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606C43" w:rsidRPr="00FD32EC">
        <w:rPr>
          <w:rFonts w:eastAsia="Times New Roman"/>
          <w:bCs/>
          <w:lang w:val="sr-Cyrl-RS" w:eastAsia="sr-Latn-RS"/>
        </w:rPr>
        <w:t>радионуклида</w:t>
      </w:r>
      <w:r w:rsidR="009B3428" w:rsidRPr="00FD32EC">
        <w:rPr>
          <w:rFonts w:eastAsia="Times New Roman"/>
          <w:bCs/>
          <w:lang w:val="sr-Cyrl-RS" w:eastAsia="sr-Latn-RS"/>
        </w:rPr>
        <w:t xml:space="preserve">, </w:t>
      </w:r>
      <w:r w:rsidR="008F7622" w:rsidRPr="00FD32EC">
        <w:rPr>
          <w:rFonts w:eastAsia="Times New Roman"/>
          <w:bCs/>
          <w:lang w:val="sr-Cyrl-RS" w:eastAsia="sr-Latn-RS"/>
        </w:rPr>
        <w:t>осим садржај</w:t>
      </w:r>
      <w:r w:rsidR="00695788" w:rsidRPr="00FD32EC">
        <w:rPr>
          <w:rFonts w:eastAsia="Times New Roman"/>
          <w:bCs/>
          <w:lang w:val="sr-Cyrl-RS" w:eastAsia="sr-Latn-RS"/>
        </w:rPr>
        <w:t>а</w:t>
      </w:r>
      <w:r w:rsidR="008F7622" w:rsidRPr="00FD32EC">
        <w:rPr>
          <w:rFonts w:eastAsia="Times New Roman"/>
          <w:bCs/>
          <w:lang w:val="sr-Cyrl-RS" w:eastAsia="sr-Latn-RS"/>
        </w:rPr>
        <w:t xml:space="preserve"> </w:t>
      </w:r>
      <w:r w:rsidR="00695788" w:rsidRPr="00FD32EC">
        <w:rPr>
          <w:rFonts w:eastAsia="Times New Roman"/>
          <w:vertAlign w:val="superscript"/>
          <w:lang w:eastAsia="sr-Latn-RS"/>
        </w:rPr>
        <w:t>137</w:t>
      </w:r>
      <w:r w:rsidR="00695788" w:rsidRPr="00FD32EC">
        <w:rPr>
          <w:rFonts w:eastAsia="Times New Roman"/>
          <w:lang w:eastAsia="sr-Latn-RS"/>
        </w:rPr>
        <w:t>Cs</w:t>
      </w:r>
      <w:r w:rsidR="009B3428" w:rsidRPr="00FD32EC">
        <w:rPr>
          <w:rFonts w:eastAsia="Times New Roman"/>
          <w:lang w:val="sr-Cyrl-RS" w:eastAsia="sr-Latn-RS"/>
        </w:rPr>
        <w:t>,</w:t>
      </w:r>
      <w:r w:rsidR="008F7622" w:rsidRPr="00FD32EC">
        <w:rPr>
          <w:rFonts w:eastAsia="Times New Roman"/>
          <w:bCs/>
          <w:lang w:val="sr-Cyrl-RS" w:eastAsia="sr-Latn-RS"/>
        </w:rPr>
        <w:t xml:space="preserve"> у храни која се ставља у промет</w:t>
      </w:r>
      <w:r w:rsidR="007F529C" w:rsidRPr="00FD32EC">
        <w:rPr>
          <w:rFonts w:eastAsia="Times New Roman"/>
          <w:bCs/>
          <w:lang w:val="sr-Cyrl-RS" w:eastAsia="sr-Latn-RS"/>
        </w:rPr>
        <w:t xml:space="preserve"> у редовним условима</w:t>
      </w:r>
      <w:r w:rsidR="008F7622" w:rsidRPr="00FD32EC">
        <w:rPr>
          <w:rFonts w:eastAsia="Times New Roman"/>
          <w:bCs/>
          <w:lang w:val="sr-Cyrl-RS" w:eastAsia="sr-Latn-RS"/>
        </w:rPr>
        <w:t>,</w:t>
      </w:r>
      <w:r w:rsidR="00606C43" w:rsidRPr="00FD32EC">
        <w:rPr>
          <w:rFonts w:eastAsia="Times New Roman"/>
          <w:bCs/>
          <w:lang w:val="sr-Cyrl-RS"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 xml:space="preserve">су </w:t>
      </w:r>
      <w:r w:rsidR="00954F10" w:rsidRPr="00FD32EC">
        <w:rPr>
          <w:rFonts w:eastAsia="Times New Roman"/>
          <w:bCs/>
          <w:lang w:val="sr-Cyrl-RS" w:eastAsia="sr-Latn-RS"/>
        </w:rPr>
        <w:t xml:space="preserve">вредности </w:t>
      </w:r>
      <w:r w:rsidR="0033241D" w:rsidRPr="00FD32EC">
        <w:rPr>
          <w:rFonts w:eastAsia="Times New Roman"/>
          <w:bCs/>
          <w:lang w:val="sr-Cyrl-RS" w:eastAsia="sr-Latn-RS"/>
        </w:rPr>
        <w:t>изведени</w:t>
      </w:r>
      <w:r w:rsidR="00954F10" w:rsidRPr="00FD32EC">
        <w:rPr>
          <w:rFonts w:eastAsia="Times New Roman"/>
          <w:bCs/>
          <w:lang w:val="sr-Cyrl-RS" w:eastAsia="sr-Latn-RS"/>
        </w:rPr>
        <w:t>х</w:t>
      </w:r>
      <w:r w:rsidR="0033241D" w:rsidRPr="00FD32EC">
        <w:rPr>
          <w:rFonts w:eastAsia="Times New Roman"/>
          <w:bCs/>
          <w:lang w:val="sr-Cyrl-RS" w:eastAsia="sr-Latn-RS"/>
        </w:rPr>
        <w:t xml:space="preserve"> концентрација</w:t>
      </w:r>
      <w:r w:rsidR="008F7622" w:rsidRPr="00FD32EC">
        <w:rPr>
          <w:rFonts w:eastAsia="Times New Roman"/>
          <w:bCs/>
          <w:lang w:val="sr-Cyrl-RS" w:eastAsia="sr-Latn-RS"/>
        </w:rPr>
        <w:t>.</w:t>
      </w:r>
    </w:p>
    <w:p w14:paraId="180A44B7" w14:textId="21A5725D" w:rsidR="0033241D" w:rsidRPr="00FD32EC" w:rsidRDefault="0033241D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Изведене концентрације радионуклида у храни израчунавају </w:t>
      </w:r>
      <w:r w:rsidR="009B3428" w:rsidRPr="00FD32EC">
        <w:rPr>
          <w:rFonts w:eastAsia="Times New Roman"/>
          <w:bCs/>
          <w:lang w:val="sr-Cyrl-RS" w:eastAsia="sr-Latn-RS"/>
        </w:rPr>
        <w:t>се на следећи начин:</w:t>
      </w:r>
    </w:p>
    <w:p w14:paraId="6C8C1B2A" w14:textId="29F660C9" w:rsidR="007F529C" w:rsidRPr="00FD32EC" w:rsidRDefault="0028758C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eastAsia="sr-Latn-RS"/>
                </w:rPr>
              </m:ctrlPr>
            </m:sSubPr>
            <m:e>
              <m:r>
                <w:rPr>
                  <w:rFonts w:ascii="Cambria Math" w:eastAsia="Times New Roman" w:hAnsi="Cambria Math"/>
                  <w:lang w:eastAsia="sr-Latn-RS"/>
                </w:rPr>
                <m:t>IK</m:t>
              </m:r>
            </m:e>
            <m:sub>
              <m:r>
                <w:rPr>
                  <w:rFonts w:ascii="Cambria Math" w:eastAsia="Times New Roman" w:hAnsi="Cambria Math"/>
                  <w:lang w:eastAsia="sr-Latn-RS"/>
                </w:rPr>
                <m:t>h</m:t>
              </m:r>
            </m:sub>
          </m:sSub>
          <m:r>
            <w:rPr>
              <w:rFonts w:ascii="Cambria Math" w:eastAsia="Times New Roman" w:hAnsi="Cambria Math"/>
              <w:lang w:eastAsia="sr-Latn-R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eastAsia="sr-Latn-RS"/>
                </w:rPr>
              </m:ctrlPr>
            </m:fPr>
            <m:num>
              <m:r>
                <w:rPr>
                  <w:rFonts w:ascii="Cambria Math" w:eastAsia="Times New Roman" w:hAnsi="Cambria Math"/>
                  <w:lang w:val="en-US" w:eastAsia="sr-Latn-RS"/>
                </w:rPr>
                <m:t>RN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sr-Latn-R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sr-Latn-RS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lang w:eastAsia="sr-Latn-R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lang w:eastAsia="sr-Latn-RS"/>
                        </w:rPr>
                        <m:t>g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/>
                      <w:lang w:eastAsia="sr-Latn-RS"/>
                    </w:rPr>
                    <m:t>n,ing</m:t>
                  </m:r>
                </m:sub>
              </m:sSub>
              <m:r>
                <w:rPr>
                  <w:rFonts w:ascii="Cambria Math" w:eastAsia="Times New Roman" w:hAnsi="Cambria Math"/>
                  <w:lang w:eastAsia="sr-Latn-R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sr-Latn-R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sr-Latn-R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sr-Latn-RS"/>
                    </w:rPr>
                    <m:t>h</m:t>
                  </m:r>
                </m:sub>
              </m:sSub>
            </m:den>
          </m:f>
        </m:oMath>
      </m:oMathPara>
    </w:p>
    <w:p w14:paraId="72867DFF" w14:textId="64D104BB" w:rsidR="00AB2754" w:rsidRPr="00FD32EC" w:rsidRDefault="00AB2754" w:rsidP="0054763C">
      <w:pPr>
        <w:spacing w:after="120"/>
        <w:jc w:val="both"/>
        <w:rPr>
          <w:lang w:val="sr-Cyrl-RS"/>
        </w:rPr>
      </w:pPr>
      <w:r w:rsidRPr="00FD32EC">
        <w:t>RN (</w:t>
      </w:r>
      <w:proofErr w:type="spellStart"/>
      <w:r w:rsidRPr="00FD32EC">
        <w:t>mSv</w:t>
      </w:r>
      <w:proofErr w:type="spellEnd"/>
      <w:r w:rsidRPr="00FD32EC">
        <w:rPr>
          <w:lang w:val="sr-Cyrl-RS"/>
        </w:rPr>
        <w:t xml:space="preserve">/год) – референтни ниво за ситуацију постојећег излагања који износи 1 </w:t>
      </w:r>
      <w:proofErr w:type="spellStart"/>
      <w:r w:rsidRPr="00FD32EC">
        <w:t>mSv</w:t>
      </w:r>
      <w:proofErr w:type="spellEnd"/>
      <w:r w:rsidRPr="00FD32EC">
        <w:rPr>
          <w:lang w:val="sr-Cyrl-RS"/>
        </w:rPr>
        <w:t>/год</w:t>
      </w:r>
    </w:p>
    <w:p w14:paraId="41A352FA" w14:textId="77777777" w:rsidR="007F529C" w:rsidRPr="00FD32EC" w:rsidRDefault="007F529C" w:rsidP="0054763C">
      <w:pPr>
        <w:spacing w:after="120"/>
        <w:jc w:val="both"/>
        <w:rPr>
          <w:lang w:val="sr-Cyrl-RS"/>
        </w:rPr>
      </w:pPr>
      <w:r w:rsidRPr="00FD32EC">
        <w:t>e(g)</w:t>
      </w:r>
      <w:proofErr w:type="spellStart"/>
      <w:r w:rsidRPr="00FD32EC">
        <w:rPr>
          <w:vertAlign w:val="subscript"/>
        </w:rPr>
        <w:t>n,ing</w:t>
      </w:r>
      <w:proofErr w:type="spellEnd"/>
      <w:r w:rsidRPr="00FD32EC">
        <w:t xml:space="preserve"> [</w:t>
      </w:r>
      <w:proofErr w:type="spellStart"/>
      <w:r w:rsidRPr="00FD32EC">
        <w:t>Sv</w:t>
      </w:r>
      <w:proofErr w:type="spellEnd"/>
      <w:r w:rsidRPr="00FD32EC">
        <w:t>/</w:t>
      </w:r>
      <w:proofErr w:type="spellStart"/>
      <w:r w:rsidRPr="00FD32EC">
        <w:t>Bq</w:t>
      </w:r>
      <w:proofErr w:type="spellEnd"/>
      <w:r w:rsidRPr="00FD32EC">
        <w:t>]</w:t>
      </w:r>
      <w:r w:rsidRPr="00FD32EC">
        <w:rPr>
          <w:lang w:val="sr-Cyrl-RS"/>
        </w:rPr>
        <w:t xml:space="preserve"> – примљена ефективна доза при јединичном уношењу радионуклида </w:t>
      </w:r>
      <w:r w:rsidRPr="00FD32EC">
        <w:rPr>
          <w:b/>
        </w:rPr>
        <w:t>n</w:t>
      </w:r>
      <w:r w:rsidRPr="00FD32EC">
        <w:t xml:space="preserve"> </w:t>
      </w:r>
      <w:proofErr w:type="spellStart"/>
      <w:r w:rsidRPr="00FD32EC">
        <w:rPr>
          <w:lang w:val="sr-Cyrl-RS"/>
        </w:rPr>
        <w:t>ингестијом</w:t>
      </w:r>
      <w:proofErr w:type="spellEnd"/>
    </w:p>
    <w:p w14:paraId="31B30708" w14:textId="4CB7C4BE" w:rsidR="007F529C" w:rsidRPr="00FD32EC" w:rsidRDefault="007F529C" w:rsidP="0054763C">
      <w:pPr>
        <w:spacing w:after="120"/>
        <w:jc w:val="both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m</w:t>
      </w:r>
      <w:r w:rsidR="00AB2754" w:rsidRPr="00FD32EC">
        <w:rPr>
          <w:rFonts w:eastAsia="Times New Roman"/>
          <w:vertAlign w:val="subscript"/>
          <w:lang w:eastAsia="sr-Latn-RS"/>
        </w:rPr>
        <w:t>h</w:t>
      </w:r>
      <w:proofErr w:type="spellEnd"/>
      <w:r w:rsidRPr="00FD32EC">
        <w:rPr>
          <w:rFonts w:eastAsia="Times New Roman"/>
          <w:lang w:eastAsia="sr-Latn-RS"/>
        </w:rPr>
        <w:t xml:space="preserve"> [kg] - </w:t>
      </w:r>
      <w:proofErr w:type="spellStart"/>
      <w:r w:rsidRPr="00FD32EC">
        <w:rPr>
          <w:rFonts w:eastAsia="Times New Roman"/>
          <w:lang w:eastAsia="sr-Latn-RS"/>
        </w:rPr>
        <w:t>количина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хране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појединац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из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становништва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унесе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годину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дана</w:t>
      </w:r>
      <w:proofErr w:type="spellEnd"/>
      <w:r w:rsidRPr="00FD32EC">
        <w:rPr>
          <w:rFonts w:eastAsia="Times New Roman"/>
          <w:lang w:val="sr-Cyrl-RS" w:eastAsia="sr-Latn-RS"/>
        </w:rPr>
        <w:t>, а према подацима статистичких истраживања Републичког завода за статистику</w:t>
      </w:r>
      <w:r w:rsidRPr="00FD32EC">
        <w:rPr>
          <w:rFonts w:eastAsia="Times New Roman"/>
          <w:lang w:eastAsia="sr-Latn-RS"/>
        </w:rPr>
        <w:t xml:space="preserve">. </w:t>
      </w:r>
    </w:p>
    <w:p w14:paraId="632118A6" w14:textId="5D9EB75F" w:rsidR="009B3428" w:rsidRPr="00FD32EC" w:rsidRDefault="0041024C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Уколико је измерени садржај радионуклида, осим за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>Cs</w:t>
      </w:r>
      <w:r w:rsidRPr="00FD32EC">
        <w:rPr>
          <w:rFonts w:eastAsia="Times New Roman"/>
          <w:lang w:val="sr-Cyrl-RS" w:eastAsia="sr-Latn-RS"/>
        </w:rPr>
        <w:t xml:space="preserve">, изнад вредности изведене концентрације за дати </w:t>
      </w:r>
      <w:proofErr w:type="spellStart"/>
      <w:r w:rsidRPr="00FD32EC">
        <w:rPr>
          <w:rFonts w:eastAsia="Times New Roman"/>
          <w:lang w:val="sr-Cyrl-RS" w:eastAsia="sr-Latn-RS"/>
        </w:rPr>
        <w:t>радионуклид</w:t>
      </w:r>
      <w:proofErr w:type="spellEnd"/>
      <w:r w:rsidRPr="00FD32EC">
        <w:rPr>
          <w:rFonts w:eastAsia="Times New Roman"/>
          <w:lang w:val="sr-Cyrl-RS" w:eastAsia="sr-Latn-RS"/>
        </w:rPr>
        <w:t xml:space="preserve">, роба не може да се забрани за стављање у промет док се, узимајући у обзир просечну количину датог производа која се годишње унесе у организам не утврди </w:t>
      </w:r>
      <w:r w:rsidRPr="00FD32EC">
        <w:rPr>
          <w:rFonts w:eastAsia="Times New Roman"/>
          <w:bCs/>
          <w:lang w:val="sr-Cyrl-RS" w:eastAsia="sr-Latn-RS"/>
        </w:rPr>
        <w:t>да конзумирање тог производа представља ризик који не може да се занемари са становишта заштите од јонизујућег зрачења.</w:t>
      </w:r>
    </w:p>
    <w:p w14:paraId="5D34A816" w14:textId="01C47D87" w:rsidR="003B03B7" w:rsidRPr="00FD32EC" w:rsidRDefault="00747D92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>
        <w:rPr>
          <w:lang w:val="sr-Cyrl-RS"/>
        </w:rPr>
        <w:t>Процену р</w:t>
      </w:r>
      <w:r w:rsidR="003B03B7" w:rsidRPr="00FD32EC">
        <w:rPr>
          <w:lang w:val="sr-Cyrl-RS"/>
        </w:rPr>
        <w:t>изик</w:t>
      </w:r>
      <w:r>
        <w:rPr>
          <w:lang w:val="sr-Cyrl-RS"/>
        </w:rPr>
        <w:t>а</w:t>
      </w:r>
      <w:r w:rsidR="003B03B7" w:rsidRPr="00FD32EC">
        <w:rPr>
          <w:lang w:val="sr-Cyrl-RS"/>
        </w:rPr>
        <w:t xml:space="preserve"> од конзумирања оваквог производа  може да врши правно лице </w:t>
      </w:r>
      <w:r w:rsidR="002914AD" w:rsidRPr="00FD32EC">
        <w:rPr>
          <w:lang w:val="sr-Cyrl-RS"/>
        </w:rPr>
        <w:t xml:space="preserve">овлашћено </w:t>
      </w:r>
      <w:r w:rsidR="003B03B7" w:rsidRPr="00FD32EC">
        <w:rPr>
          <w:lang w:val="sr-Cyrl-RS"/>
        </w:rPr>
        <w:t xml:space="preserve">за </w:t>
      </w:r>
      <w:r w:rsidR="002914AD" w:rsidRPr="00FD32EC">
        <w:rPr>
          <w:lang w:val="sr-Cyrl-RS"/>
        </w:rPr>
        <w:t xml:space="preserve">вршење </w:t>
      </w:r>
      <w:r w:rsidR="003B03B7" w:rsidRPr="00FD32EC">
        <w:rPr>
          <w:lang w:val="sr-Cyrl-RS"/>
        </w:rPr>
        <w:t>послов</w:t>
      </w:r>
      <w:r w:rsidR="002914AD" w:rsidRPr="00FD32EC">
        <w:rPr>
          <w:lang w:val="sr-Cyrl-RS"/>
        </w:rPr>
        <w:t>а</w:t>
      </w:r>
      <w:r w:rsidR="003B03B7" w:rsidRPr="00FD32EC">
        <w:rPr>
          <w:lang w:val="sr-Cyrl-RS"/>
        </w:rPr>
        <w:t xml:space="preserve"> заштите од зрачења</w:t>
      </w:r>
      <w:r w:rsidR="002914AD" w:rsidRPr="00FD32EC">
        <w:rPr>
          <w:lang w:val="sr-Cyrl-RS"/>
        </w:rPr>
        <w:t xml:space="preserve"> и то мониторинг радиоактивности и поједина испитивања у оквиру </w:t>
      </w:r>
      <w:r w:rsidR="00625DDF" w:rsidRPr="00FD32EC">
        <w:rPr>
          <w:lang w:val="sr-Cyrl-RS"/>
        </w:rPr>
        <w:t>мониторинга</w:t>
      </w:r>
      <w:r w:rsidR="003B03B7" w:rsidRPr="00FD32EC">
        <w:rPr>
          <w:lang w:val="sr-Cyrl-RS"/>
        </w:rPr>
        <w:t xml:space="preserve"> и</w:t>
      </w:r>
      <w:r w:rsidR="00A73005" w:rsidRPr="00FD32EC">
        <w:rPr>
          <w:lang w:val="sr-Cyrl-RS"/>
        </w:rPr>
        <w:t>ли</w:t>
      </w:r>
      <w:r w:rsidR="003B03B7" w:rsidRPr="00FD32EC">
        <w:rPr>
          <w:lang w:val="sr-Cyrl-RS"/>
        </w:rPr>
        <w:t xml:space="preserve"> стручњак </w:t>
      </w:r>
      <w:r>
        <w:rPr>
          <w:lang w:val="sr-Cyrl-RS"/>
        </w:rPr>
        <w:t xml:space="preserve">из области </w:t>
      </w:r>
      <w:r w:rsidR="003B03B7" w:rsidRPr="00FD32EC">
        <w:rPr>
          <w:lang w:val="sr-Cyrl-RS"/>
        </w:rPr>
        <w:t>заштит</w:t>
      </w:r>
      <w:r>
        <w:rPr>
          <w:lang w:val="sr-Cyrl-RS"/>
        </w:rPr>
        <w:t>е</w:t>
      </w:r>
      <w:r w:rsidR="003B03B7" w:rsidRPr="00FD32EC">
        <w:rPr>
          <w:lang w:val="sr-Cyrl-RS"/>
        </w:rPr>
        <w:t xml:space="preserve"> од јонизујућег зрачења са одговарајућом експертизом.</w:t>
      </w:r>
    </w:p>
    <w:p w14:paraId="6CDA66BE" w14:textId="77777777" w:rsidR="0054763C" w:rsidRPr="00FD32EC" w:rsidRDefault="0054763C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</w:p>
    <w:p w14:paraId="5BC62C75" w14:textId="24EA7423" w:rsidR="00FE4ADD" w:rsidRPr="00FD32EC" w:rsidRDefault="009D058C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Границе садржаја </w:t>
      </w:r>
      <w:r w:rsidRPr="00FD32EC">
        <w:rPr>
          <w:rFonts w:eastAsia="Times New Roman"/>
          <w:vertAlign w:val="superscript"/>
          <w:lang w:val="sr-Cyrl-RS" w:eastAsia="sr-Latn-RS"/>
        </w:rPr>
        <w:t>137</w:t>
      </w:r>
      <w:r w:rsidRPr="00FD32EC">
        <w:rPr>
          <w:rFonts w:eastAsia="Times New Roman"/>
          <w:lang w:val="sr-Cyrl-RS" w:eastAsia="sr-Latn-RS"/>
        </w:rPr>
        <w:t>Cs у храни која се ставља у промет</w:t>
      </w:r>
    </w:p>
    <w:p w14:paraId="7DEFE197" w14:textId="1F802EC7" w:rsidR="0090708F" w:rsidRPr="00FD32EC" w:rsidRDefault="0090708F" w:rsidP="0054763C">
      <w:pPr>
        <w:spacing w:after="120"/>
        <w:jc w:val="center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1D3803" w:rsidRPr="00FD32EC">
        <w:rPr>
          <w:rFonts w:eastAsia="Times New Roman"/>
          <w:lang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2</w:t>
      </w:r>
      <w:r w:rsidR="0094076C" w:rsidRPr="00FD32EC">
        <w:rPr>
          <w:rFonts w:eastAsia="Times New Roman"/>
          <w:lang w:val="sr-Cyrl-RS" w:eastAsia="sr-Latn-RS"/>
        </w:rPr>
        <w:t>.</w:t>
      </w:r>
    </w:p>
    <w:p w14:paraId="2772CF3C" w14:textId="424BD91F" w:rsidR="00975A9B" w:rsidRPr="00FD32EC" w:rsidRDefault="00975A9B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Показатељ</w:t>
      </w:r>
      <w:r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>на основу ко</w:t>
      </w:r>
      <w:r w:rsidR="00967709" w:rsidRPr="00FD32EC">
        <w:rPr>
          <w:rFonts w:eastAsia="Times New Roman"/>
          <w:bCs/>
          <w:lang w:val="sr-Cyrl-RS" w:eastAsia="sr-Latn-RS"/>
        </w:rPr>
        <w:t>га</w:t>
      </w:r>
      <w:r w:rsidRPr="00FD32EC">
        <w:rPr>
          <w:rFonts w:eastAsia="Times New Roman"/>
          <w:bCs/>
          <w:lang w:val="sr-Cyrl-RS" w:eastAsia="sr-Latn-RS"/>
        </w:rPr>
        <w:t xml:space="preserve"> се врши </w:t>
      </w:r>
      <w:proofErr w:type="spellStart"/>
      <w:r w:rsidRPr="00FD32EC">
        <w:rPr>
          <w:rFonts w:eastAsia="Times New Roman"/>
          <w:bCs/>
          <w:lang w:eastAsia="sr-Latn-RS"/>
        </w:rPr>
        <w:t>контрол</w:t>
      </w:r>
      <w:proofErr w:type="spellEnd"/>
      <w:r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val="sr-Cyrl-RS" w:eastAsia="sr-Latn-RS"/>
        </w:rPr>
        <w:t xml:space="preserve">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у </w:t>
      </w:r>
      <w:proofErr w:type="spellStart"/>
      <w:r w:rsidRPr="00FD32EC">
        <w:rPr>
          <w:rFonts w:eastAsia="Times New Roman"/>
          <w:lang w:eastAsia="sr-Latn-RS"/>
        </w:rPr>
        <w:t>храни</w:t>
      </w:r>
      <w:proofErr w:type="spellEnd"/>
      <w:r w:rsidRPr="00FD32EC">
        <w:rPr>
          <w:rFonts w:eastAsia="Times New Roman"/>
          <w:lang w:val="sr-Cyrl-RS" w:eastAsia="sr-Latn-RS"/>
        </w:rPr>
        <w:t xml:space="preserve"> </w:t>
      </w:r>
      <w:r w:rsidR="00967709" w:rsidRPr="00FD32EC">
        <w:rPr>
          <w:rFonts w:eastAsia="Times New Roman"/>
          <w:lang w:val="sr-Cyrl-RS" w:eastAsia="sr-Latn-RS"/>
        </w:rPr>
        <w:t>је</w:t>
      </w:r>
      <w:r w:rsidRPr="00FD32EC">
        <w:rPr>
          <w:rFonts w:eastAsia="Times New Roman"/>
          <w:lang w:val="sr-Cyrl-RS" w:eastAsia="sr-Latn-RS"/>
        </w:rPr>
        <w:t xml:space="preserve"> границ</w:t>
      </w:r>
      <w:r w:rsidR="00967709" w:rsidRPr="00FD32EC">
        <w:rPr>
          <w:rFonts w:eastAsia="Times New Roman"/>
          <w:lang w:val="sr-Cyrl-RS" w:eastAsia="sr-Latn-RS"/>
        </w:rPr>
        <w:t>а</w:t>
      </w:r>
      <w:r w:rsidRPr="00FD32EC">
        <w:rPr>
          <w:rFonts w:eastAsia="Times New Roman"/>
          <w:lang w:val="sr-Cyrl-RS" w:eastAsia="sr-Latn-RS"/>
        </w:rPr>
        <w:t xml:space="preserve"> садржаја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у </w:t>
      </w:r>
      <w:proofErr w:type="spellStart"/>
      <w:r w:rsidRPr="00FD32EC">
        <w:rPr>
          <w:rFonts w:eastAsia="Times New Roman"/>
          <w:lang w:eastAsia="sr-Latn-RS"/>
        </w:rPr>
        <w:t>храни</w:t>
      </w:r>
      <w:proofErr w:type="spellEnd"/>
      <w:r w:rsidRPr="00FD32EC">
        <w:rPr>
          <w:rFonts w:eastAsia="Times New Roman"/>
          <w:lang w:val="sr-Cyrl-RS" w:eastAsia="sr-Latn-RS"/>
        </w:rPr>
        <w:t xml:space="preserve">. Храна се не може ставити у промет уколико је садржај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</w:t>
      </w:r>
      <w:r w:rsidRPr="00FD32EC">
        <w:rPr>
          <w:rFonts w:eastAsia="Times New Roman"/>
          <w:lang w:val="sr-Cyrl-RS" w:eastAsia="sr-Latn-RS"/>
        </w:rPr>
        <w:t xml:space="preserve">изнад </w:t>
      </w:r>
      <w:r w:rsidR="00967709" w:rsidRPr="00FD32EC">
        <w:rPr>
          <w:rFonts w:eastAsia="Times New Roman"/>
          <w:lang w:val="sr-Cyrl-RS" w:eastAsia="sr-Latn-RS"/>
        </w:rPr>
        <w:t xml:space="preserve">вредности </w:t>
      </w:r>
      <w:r w:rsidRPr="00FD32EC">
        <w:rPr>
          <w:rFonts w:eastAsia="Times New Roman"/>
          <w:lang w:val="sr-Cyrl-RS" w:eastAsia="sr-Latn-RS"/>
        </w:rPr>
        <w:t>прописане границе.</w:t>
      </w:r>
    </w:p>
    <w:p w14:paraId="76AE6001" w14:textId="37758197" w:rsidR="0090708F" w:rsidRPr="00FD32EC" w:rsidRDefault="0090708F" w:rsidP="0054763C">
      <w:pPr>
        <w:spacing w:after="120"/>
        <w:jc w:val="both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Граница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у </w:t>
      </w:r>
      <w:proofErr w:type="spellStart"/>
      <w:r w:rsidRPr="00FD32EC">
        <w:rPr>
          <w:rFonts w:eastAsia="Times New Roman"/>
          <w:lang w:eastAsia="sr-Latn-RS"/>
        </w:rPr>
        <w:t>храни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954F10" w:rsidRPr="00FD32EC">
        <w:rPr>
          <w:rFonts w:eastAsia="Times New Roman"/>
          <w:lang w:val="sr-Cyrl-RS" w:eastAsia="sr-Latn-RS"/>
        </w:rPr>
        <w:t xml:space="preserve">највећим уделом </w:t>
      </w:r>
      <w:proofErr w:type="spellStart"/>
      <w:r w:rsidRPr="00FD32EC">
        <w:rPr>
          <w:rFonts w:eastAsia="Times New Roman"/>
          <w:lang w:eastAsia="sr-Latn-RS"/>
        </w:rPr>
        <w:t>заступљена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исхрани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proofErr w:type="spellStart"/>
      <w:r w:rsidR="0094076C" w:rsidRPr="00FD32EC">
        <w:rPr>
          <w:rFonts w:eastAsia="Times New Roman"/>
          <w:lang w:eastAsia="sr-Latn-RS"/>
        </w:rPr>
        <w:t>поврће</w:t>
      </w:r>
      <w:proofErr w:type="spellEnd"/>
      <w:r w:rsidR="0094076C" w:rsidRPr="00FD32EC">
        <w:rPr>
          <w:rFonts w:eastAsia="Times New Roman"/>
          <w:lang w:val="sr-Cyrl-RS" w:eastAsia="sr-Latn-RS"/>
        </w:rPr>
        <w:t xml:space="preserve"> и производи од поврћа</w:t>
      </w:r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воће</w:t>
      </w:r>
      <w:proofErr w:type="spellEnd"/>
      <w:r w:rsidR="0094076C" w:rsidRPr="00FD32EC">
        <w:rPr>
          <w:rFonts w:eastAsia="Times New Roman"/>
          <w:lang w:val="sr-Cyrl-RS" w:eastAsia="sr-Latn-RS"/>
        </w:rPr>
        <w:t xml:space="preserve"> и производи од воћа осим бобичастог воћа</w:t>
      </w:r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житарице</w:t>
      </w:r>
      <w:proofErr w:type="spellEnd"/>
      <w:r w:rsidR="0094076C" w:rsidRPr="00FD32EC">
        <w:rPr>
          <w:rFonts w:eastAsia="Times New Roman"/>
          <w:lang w:val="sr-Cyrl-RS" w:eastAsia="sr-Latn-RS"/>
        </w:rPr>
        <w:t xml:space="preserve"> и производи од житарица</w:t>
      </w:r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месо</w:t>
      </w:r>
      <w:proofErr w:type="spellEnd"/>
      <w:r w:rsidR="0094076C" w:rsidRPr="00FD32EC">
        <w:rPr>
          <w:rFonts w:eastAsia="Times New Roman"/>
          <w:lang w:eastAsia="sr-Latn-RS"/>
        </w:rPr>
        <w:t xml:space="preserve"> и </w:t>
      </w:r>
      <w:proofErr w:type="spellStart"/>
      <w:r w:rsidR="0094076C" w:rsidRPr="00FD32EC">
        <w:rPr>
          <w:rFonts w:eastAsia="Times New Roman"/>
          <w:lang w:eastAsia="sr-Latn-RS"/>
        </w:rPr>
        <w:t>производи</w:t>
      </w:r>
      <w:proofErr w:type="spellEnd"/>
      <w:r w:rsidR="0094076C" w:rsidRPr="00FD32EC">
        <w:rPr>
          <w:rFonts w:eastAsia="Times New Roman"/>
          <w:lang w:eastAsia="sr-Latn-RS"/>
        </w:rPr>
        <w:t xml:space="preserve"> </w:t>
      </w:r>
      <w:proofErr w:type="spellStart"/>
      <w:r w:rsidR="0094076C" w:rsidRPr="00FD32EC">
        <w:rPr>
          <w:rFonts w:eastAsia="Times New Roman"/>
          <w:lang w:eastAsia="sr-Latn-RS"/>
        </w:rPr>
        <w:t>од</w:t>
      </w:r>
      <w:proofErr w:type="spellEnd"/>
      <w:r w:rsidR="0094076C" w:rsidRPr="00FD32EC">
        <w:rPr>
          <w:rFonts w:eastAsia="Times New Roman"/>
          <w:lang w:eastAsia="sr-Latn-RS"/>
        </w:rPr>
        <w:t xml:space="preserve"> </w:t>
      </w:r>
      <w:proofErr w:type="spellStart"/>
      <w:r w:rsidR="0094076C" w:rsidRPr="00FD32EC">
        <w:rPr>
          <w:rFonts w:eastAsia="Times New Roman"/>
          <w:lang w:eastAsia="sr-Latn-RS"/>
        </w:rPr>
        <w:t>меса</w:t>
      </w:r>
      <w:proofErr w:type="spellEnd"/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јаја</w:t>
      </w:r>
      <w:proofErr w:type="spellEnd"/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млеко</w:t>
      </w:r>
      <w:proofErr w:type="spellEnd"/>
      <w:r w:rsidR="0094076C" w:rsidRPr="00FD32EC">
        <w:rPr>
          <w:rFonts w:eastAsia="Times New Roman"/>
          <w:lang w:eastAsia="sr-Latn-RS"/>
        </w:rPr>
        <w:t xml:space="preserve"> и </w:t>
      </w:r>
      <w:proofErr w:type="spellStart"/>
      <w:r w:rsidR="0094076C" w:rsidRPr="00FD32EC">
        <w:rPr>
          <w:rFonts w:eastAsia="Times New Roman"/>
          <w:lang w:eastAsia="sr-Latn-RS"/>
        </w:rPr>
        <w:t>млечни</w:t>
      </w:r>
      <w:proofErr w:type="spellEnd"/>
      <w:r w:rsidR="0094076C" w:rsidRPr="00FD32EC">
        <w:rPr>
          <w:rFonts w:eastAsia="Times New Roman"/>
          <w:lang w:eastAsia="sr-Latn-RS"/>
        </w:rPr>
        <w:t xml:space="preserve"> </w:t>
      </w:r>
      <w:proofErr w:type="spellStart"/>
      <w:r w:rsidR="0094076C" w:rsidRPr="00FD32EC">
        <w:rPr>
          <w:rFonts w:eastAsia="Times New Roman"/>
          <w:lang w:eastAsia="sr-Latn-RS"/>
        </w:rPr>
        <w:t>производи</w:t>
      </w:r>
      <w:proofErr w:type="spellEnd"/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уље</w:t>
      </w:r>
      <w:proofErr w:type="spellEnd"/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шећер</w:t>
      </w:r>
      <w:proofErr w:type="spellEnd"/>
      <w:r w:rsidR="0094076C" w:rsidRPr="00FD32EC">
        <w:rPr>
          <w:rFonts w:eastAsia="Times New Roman"/>
          <w:lang w:eastAsia="sr-Latn-RS"/>
        </w:rPr>
        <w:t xml:space="preserve">, </w:t>
      </w:r>
      <w:proofErr w:type="spellStart"/>
      <w:r w:rsidR="0094076C" w:rsidRPr="00FD32EC">
        <w:rPr>
          <w:rFonts w:eastAsia="Times New Roman"/>
          <w:lang w:eastAsia="sr-Latn-RS"/>
        </w:rPr>
        <w:t>безалкохолна</w:t>
      </w:r>
      <w:proofErr w:type="spellEnd"/>
      <w:r w:rsidR="0094076C" w:rsidRPr="00FD32EC">
        <w:rPr>
          <w:rFonts w:eastAsia="Times New Roman"/>
          <w:lang w:eastAsia="sr-Latn-RS"/>
        </w:rPr>
        <w:t xml:space="preserve"> </w:t>
      </w:r>
      <w:proofErr w:type="spellStart"/>
      <w:r w:rsidR="0094076C" w:rsidRPr="00FD32EC">
        <w:rPr>
          <w:rFonts w:eastAsia="Times New Roman"/>
          <w:lang w:eastAsia="sr-Latn-RS"/>
        </w:rPr>
        <w:t>пића</w:t>
      </w:r>
      <w:proofErr w:type="spellEnd"/>
      <w:r w:rsidRPr="00FD32EC">
        <w:rPr>
          <w:rFonts w:eastAsia="Times New Roman"/>
          <w:lang w:eastAsia="sr-Latn-RS"/>
        </w:rPr>
        <w:t>)</w:t>
      </w:r>
      <w:r w:rsidRPr="00FD32EC">
        <w:rPr>
          <w:rFonts w:eastAsia="Times New Roman"/>
          <w:lang w:val="sr-Cyrl-RS" w:eastAsia="sr-Latn-RS"/>
        </w:rPr>
        <w:t xml:space="preserve"> која се стављају у промет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15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 xml:space="preserve">/kg, </w:t>
      </w:r>
      <w:proofErr w:type="spellStart"/>
      <w:r w:rsidRPr="00FD32EC">
        <w:rPr>
          <w:rFonts w:eastAsia="Times New Roman"/>
          <w:lang w:eastAsia="sr-Latn-RS"/>
        </w:rPr>
        <w:t>односно</w:t>
      </w:r>
      <w:proofErr w:type="spellEnd"/>
      <w:r w:rsidRPr="00FD32EC">
        <w:rPr>
          <w:rFonts w:eastAsia="Times New Roman"/>
          <w:lang w:eastAsia="sr-Latn-RS"/>
        </w:rPr>
        <w:t xml:space="preserve"> 15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 xml:space="preserve">/l. </w:t>
      </w:r>
    </w:p>
    <w:p w14:paraId="1AA5F3D6" w14:textId="426D1E74" w:rsidR="0090708F" w:rsidRPr="00FD32EC" w:rsidRDefault="0090708F" w:rsidP="0054763C">
      <w:pPr>
        <w:spacing w:after="120"/>
        <w:jc w:val="both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Граница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у </w:t>
      </w:r>
      <w:proofErr w:type="spellStart"/>
      <w:r w:rsidR="00ED1D88" w:rsidRPr="00FD32EC">
        <w:rPr>
          <w:rFonts w:eastAsia="Times New Roman"/>
          <w:lang w:eastAsia="sr-Latn-RS"/>
        </w:rPr>
        <w:t>храни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="00782249" w:rsidRPr="00FD32EC">
        <w:rPr>
          <w:rFonts w:eastAsia="Times New Roman"/>
          <w:lang w:eastAsia="sr-Latn-RS"/>
        </w:rPr>
        <w:t>мањ</w:t>
      </w:r>
      <w:proofErr w:type="spellEnd"/>
      <w:r w:rsidR="00782249" w:rsidRPr="00FD32EC">
        <w:rPr>
          <w:rFonts w:eastAsia="Times New Roman"/>
          <w:lang w:val="sr-Cyrl-RS" w:eastAsia="sr-Latn-RS"/>
        </w:rPr>
        <w:t>и</w:t>
      </w:r>
      <w:r w:rsidR="00782249" w:rsidRPr="00FD32EC">
        <w:rPr>
          <w:rFonts w:eastAsia="Times New Roman"/>
          <w:lang w:eastAsia="sr-Latn-RS"/>
        </w:rPr>
        <w:t xml:space="preserve">м </w:t>
      </w:r>
      <w:r w:rsidR="00782249" w:rsidRPr="00FD32EC">
        <w:rPr>
          <w:rFonts w:eastAsia="Times New Roman"/>
          <w:lang w:val="sr-Cyrl-RS" w:eastAsia="sr-Latn-RS"/>
        </w:rPr>
        <w:t>уделом</w:t>
      </w:r>
      <w:r w:rsidR="00782249"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заступљена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исхрани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val="sr-Cyrl-RS" w:eastAsia="sr-Latn-RS"/>
        </w:rPr>
        <w:t>(</w:t>
      </w:r>
      <w:proofErr w:type="spellStart"/>
      <w:r w:rsidRPr="00FD32EC">
        <w:rPr>
          <w:rFonts w:eastAsia="Times New Roman"/>
          <w:lang w:eastAsia="sr-Latn-RS"/>
        </w:rPr>
        <w:t>млек</w:t>
      </w:r>
      <w:proofErr w:type="spellEnd"/>
      <w:r w:rsidRPr="00FD32EC">
        <w:rPr>
          <w:rFonts w:eastAsia="Times New Roman"/>
          <w:lang w:val="sr-Cyrl-RS" w:eastAsia="sr-Latn-RS"/>
        </w:rPr>
        <w:t>о</w:t>
      </w:r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праху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бобичасто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дивље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воћ</w:t>
      </w:r>
      <w:proofErr w:type="spellEnd"/>
      <w:r w:rsidRPr="00FD32EC">
        <w:rPr>
          <w:rFonts w:eastAsia="Times New Roman"/>
          <w:lang w:val="sr-Cyrl-RS" w:eastAsia="sr-Latn-RS"/>
        </w:rPr>
        <w:t>е</w:t>
      </w:r>
      <w:r w:rsidR="0094076C" w:rsidRPr="00FD32EC">
        <w:rPr>
          <w:rFonts w:eastAsia="Times New Roman"/>
          <w:lang w:val="sr-Cyrl-RS" w:eastAsia="sr-Latn-RS"/>
        </w:rPr>
        <w:t xml:space="preserve"> и производи од бобичастог дивљег воћа</w:t>
      </w:r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дивљач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риб</w:t>
      </w:r>
      <w:proofErr w:type="spellEnd"/>
      <w:r w:rsidRPr="00FD32EC">
        <w:rPr>
          <w:rFonts w:eastAsia="Times New Roman"/>
          <w:lang w:val="sr-Cyrl-RS" w:eastAsia="sr-Latn-RS"/>
        </w:rPr>
        <w:t>а</w:t>
      </w:r>
      <w:r w:rsidR="0094076C" w:rsidRPr="00FD32EC">
        <w:rPr>
          <w:rFonts w:eastAsia="Times New Roman"/>
          <w:lang w:val="sr-Cyrl-RS" w:eastAsia="sr-Latn-RS"/>
        </w:rPr>
        <w:t xml:space="preserve"> и производи од рибе</w:t>
      </w:r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морски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плодови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r w:rsidR="007943DA" w:rsidRPr="00FD32EC">
        <w:rPr>
          <w:rFonts w:eastAsia="Times New Roman"/>
          <w:lang w:val="sr-Cyrl-RS" w:eastAsia="sr-Latn-RS"/>
        </w:rPr>
        <w:t xml:space="preserve">свеже </w:t>
      </w:r>
      <w:proofErr w:type="spellStart"/>
      <w:r w:rsidRPr="00FD32EC">
        <w:rPr>
          <w:rFonts w:eastAsia="Times New Roman"/>
          <w:lang w:eastAsia="sr-Latn-RS"/>
        </w:rPr>
        <w:t>печурк</w:t>
      </w:r>
      <w:proofErr w:type="spellEnd"/>
      <w:r w:rsidRPr="00FD32EC">
        <w:rPr>
          <w:rFonts w:eastAsia="Times New Roman"/>
          <w:lang w:val="sr-Cyrl-RS" w:eastAsia="sr-Latn-RS"/>
        </w:rPr>
        <w:t>е</w:t>
      </w:r>
      <w:r w:rsidRPr="00FD32EC">
        <w:rPr>
          <w:rFonts w:eastAsia="Times New Roman"/>
          <w:lang w:eastAsia="sr-Latn-RS"/>
        </w:rPr>
        <w:t xml:space="preserve">  и </w:t>
      </w:r>
      <w:proofErr w:type="spellStart"/>
      <w:r w:rsidRPr="00FD32EC">
        <w:rPr>
          <w:rFonts w:eastAsia="Times New Roman"/>
          <w:lang w:eastAsia="sr-Latn-RS"/>
        </w:rPr>
        <w:t>производи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од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печурака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лековито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биљ</w:t>
      </w:r>
      <w:proofErr w:type="spellEnd"/>
      <w:r w:rsidRPr="00FD32EC">
        <w:rPr>
          <w:rFonts w:eastAsia="Times New Roman"/>
          <w:lang w:val="sr-Cyrl-RS" w:eastAsia="sr-Latn-RS"/>
        </w:rPr>
        <w:t>е</w:t>
      </w:r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чајеви</w:t>
      </w:r>
      <w:proofErr w:type="spellEnd"/>
      <w:r w:rsidR="00782249" w:rsidRPr="00FD32EC">
        <w:rPr>
          <w:rFonts w:eastAsia="Times New Roman"/>
          <w:lang w:val="sr-Cyrl-RS" w:eastAsia="sr-Latn-RS"/>
        </w:rPr>
        <w:t>,</w:t>
      </w:r>
      <w:r w:rsidR="00625DDF" w:rsidRPr="00FD32EC">
        <w:rPr>
          <w:rFonts w:eastAsia="Times New Roman"/>
          <w:lang w:val="sr-Cyrl-RS"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каф</w:t>
      </w:r>
      <w:proofErr w:type="spellEnd"/>
      <w:r w:rsidRPr="00FD32EC">
        <w:rPr>
          <w:rFonts w:eastAsia="Times New Roman"/>
          <w:lang w:val="sr-Cyrl-RS" w:eastAsia="sr-Latn-RS"/>
        </w:rPr>
        <w:t>а</w:t>
      </w:r>
      <w:r w:rsidR="00782249" w:rsidRPr="00FD32EC">
        <w:rPr>
          <w:rFonts w:eastAsia="Times New Roman"/>
          <w:lang w:val="sr-Cyrl-RS" w:eastAsia="sr-Latn-RS"/>
        </w:rPr>
        <w:t xml:space="preserve"> и алкохолна пића</w:t>
      </w:r>
      <w:r w:rsidRPr="00FD32EC">
        <w:rPr>
          <w:rFonts w:eastAsia="Times New Roman"/>
          <w:lang w:val="sr-Cyrl-RS" w:eastAsia="sr-Latn-RS"/>
        </w:rPr>
        <w:t>)</w:t>
      </w:r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val="sr-Cyrl-RS" w:eastAsia="sr-Latn-RS"/>
        </w:rPr>
        <w:t xml:space="preserve">који се стављају у промет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150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 xml:space="preserve">/kg, </w:t>
      </w:r>
      <w:proofErr w:type="spellStart"/>
      <w:r w:rsidRPr="00FD32EC">
        <w:rPr>
          <w:rFonts w:eastAsia="Times New Roman"/>
          <w:lang w:eastAsia="sr-Latn-RS"/>
        </w:rPr>
        <w:t>односно</w:t>
      </w:r>
      <w:proofErr w:type="spellEnd"/>
      <w:r w:rsidRPr="00FD32EC">
        <w:rPr>
          <w:rFonts w:eastAsia="Times New Roman"/>
          <w:lang w:eastAsia="sr-Latn-RS"/>
        </w:rPr>
        <w:t xml:space="preserve"> 150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 xml:space="preserve">/l. </w:t>
      </w:r>
    </w:p>
    <w:p w14:paraId="6B881AC0" w14:textId="77777777" w:rsidR="0090708F" w:rsidRPr="00FD32EC" w:rsidRDefault="0090708F" w:rsidP="0054763C">
      <w:pPr>
        <w:spacing w:after="120"/>
        <w:jc w:val="both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Граница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 xml:space="preserve">Cs у </w:t>
      </w:r>
      <w:proofErr w:type="spellStart"/>
      <w:r w:rsidRPr="00FD32EC">
        <w:rPr>
          <w:rFonts w:eastAsia="Times New Roman"/>
          <w:lang w:eastAsia="sr-Latn-RS"/>
        </w:rPr>
        <w:t>сувим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печуркама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аромама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зачинима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осталим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намирницама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користе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мање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од</w:t>
      </w:r>
      <w:proofErr w:type="spellEnd"/>
      <w:r w:rsidRPr="00FD32EC">
        <w:rPr>
          <w:rFonts w:eastAsia="Times New Roman"/>
          <w:lang w:eastAsia="sr-Latn-RS"/>
        </w:rPr>
        <w:t xml:space="preserve"> 2 kg </w:t>
      </w:r>
      <w:proofErr w:type="spellStart"/>
      <w:r w:rsidRPr="00FD32EC">
        <w:rPr>
          <w:rFonts w:eastAsia="Times New Roman"/>
          <w:lang w:eastAsia="sr-Latn-RS"/>
        </w:rPr>
        <w:t>годишње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глави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становника</w:t>
      </w:r>
      <w:proofErr w:type="spellEnd"/>
      <w:r w:rsidRPr="00FD32EC">
        <w:rPr>
          <w:rFonts w:eastAsia="Times New Roman"/>
          <w:lang w:val="sr-Cyrl-RS" w:eastAsia="sr-Latn-RS"/>
        </w:rPr>
        <w:t>, који се стављају у промет,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600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 xml:space="preserve">/kg, </w:t>
      </w:r>
      <w:proofErr w:type="spellStart"/>
      <w:r w:rsidRPr="00FD32EC">
        <w:rPr>
          <w:rFonts w:eastAsia="Times New Roman"/>
          <w:lang w:eastAsia="sr-Latn-RS"/>
        </w:rPr>
        <w:t>односно</w:t>
      </w:r>
      <w:proofErr w:type="spellEnd"/>
      <w:r w:rsidRPr="00FD32EC">
        <w:rPr>
          <w:rFonts w:eastAsia="Times New Roman"/>
          <w:lang w:eastAsia="sr-Latn-RS"/>
        </w:rPr>
        <w:t xml:space="preserve"> 600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/l.</w:t>
      </w:r>
    </w:p>
    <w:p w14:paraId="4641F1DD" w14:textId="1DF0B819" w:rsidR="000B6E72" w:rsidRPr="00FD32EC" w:rsidRDefault="000B6E72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Границе садржаја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Pr="00FD32EC">
        <w:rPr>
          <w:rFonts w:eastAsia="Times New Roman"/>
          <w:lang w:eastAsia="sr-Latn-RS"/>
        </w:rPr>
        <w:t>Cs</w:t>
      </w:r>
      <w:r w:rsidRPr="00FD32EC">
        <w:rPr>
          <w:rFonts w:eastAsia="Times New Roman"/>
          <w:lang w:val="sr-Cyrl-RS" w:eastAsia="sr-Latn-RS"/>
        </w:rPr>
        <w:t xml:space="preserve"> у храни која се ставља у промет примењује се на производ у облику спремном за конзумацију.</w:t>
      </w:r>
    </w:p>
    <w:p w14:paraId="57A77BAB" w14:textId="77777777" w:rsidR="0054763C" w:rsidRPr="00FD32EC" w:rsidRDefault="0054763C" w:rsidP="0054763C">
      <w:pPr>
        <w:spacing w:after="120"/>
        <w:jc w:val="both"/>
        <w:rPr>
          <w:rFonts w:eastAsia="Times New Roman"/>
          <w:lang w:val="sr-Cyrl-RS" w:eastAsia="sr-Latn-RS"/>
        </w:rPr>
      </w:pPr>
    </w:p>
    <w:p w14:paraId="79CF53B5" w14:textId="73F12CD2" w:rsidR="001E048C" w:rsidRPr="00FD32EC" w:rsidRDefault="00992926" w:rsidP="0054763C">
      <w:pPr>
        <w:spacing w:after="120"/>
        <w:jc w:val="center"/>
        <w:rPr>
          <w:rFonts w:eastAsia="Times New Roman"/>
          <w:lang w:val="sr-Cyrl-RS" w:eastAsia="sr-Latn-RS"/>
        </w:rPr>
      </w:pPr>
      <w:bookmarkStart w:id="5" w:name="clan_8"/>
      <w:bookmarkStart w:id="6" w:name="clan_9"/>
      <w:bookmarkStart w:id="7" w:name="clan_10"/>
      <w:bookmarkEnd w:id="5"/>
      <w:bookmarkEnd w:id="6"/>
      <w:bookmarkEnd w:id="7"/>
      <w:r w:rsidRPr="00FD32EC">
        <w:rPr>
          <w:rFonts w:eastAsia="Times New Roman"/>
          <w:lang w:val="sr-Cyrl-RS" w:eastAsia="sr-Latn-RS"/>
        </w:rPr>
        <w:t>С</w:t>
      </w:r>
      <w:r w:rsidR="001E048C" w:rsidRPr="00FD32EC">
        <w:rPr>
          <w:rFonts w:eastAsia="Times New Roman"/>
          <w:lang w:val="sr-Cyrl-RS" w:eastAsia="sr-Latn-RS"/>
        </w:rPr>
        <w:t>адржај радионуклида у предметима опште употребе</w:t>
      </w:r>
    </w:p>
    <w:p w14:paraId="6F9205BB" w14:textId="7DC30EE2" w:rsidR="002A33E2" w:rsidRPr="00FD32EC" w:rsidRDefault="002A33E2" w:rsidP="0054763C">
      <w:pPr>
        <w:spacing w:after="120"/>
        <w:jc w:val="center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1</w:t>
      </w:r>
      <w:r w:rsidR="00F05DAF" w:rsidRPr="00FD32EC">
        <w:rPr>
          <w:rFonts w:eastAsia="Times New Roman"/>
          <w:lang w:val="sr-Cyrl-RS" w:eastAsia="sr-Latn-RS"/>
        </w:rPr>
        <w:t>3</w:t>
      </w:r>
      <w:r w:rsidR="001976D2" w:rsidRPr="00FD32EC">
        <w:rPr>
          <w:rFonts w:eastAsia="Times New Roman"/>
          <w:lang w:val="sr-Cyrl-RS" w:eastAsia="sr-Latn-RS"/>
        </w:rPr>
        <w:t>.</w:t>
      </w:r>
    </w:p>
    <w:p w14:paraId="4FF2BF88" w14:textId="73320D42" w:rsidR="00B06249" w:rsidRPr="00FD32EC" w:rsidRDefault="00B06249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Присуство вештачких </w:t>
      </w:r>
      <w:r w:rsidR="002A33E2" w:rsidRPr="00FD32EC">
        <w:rPr>
          <w:rFonts w:eastAsia="Times New Roman"/>
          <w:lang w:eastAsia="sr-Latn-RS"/>
        </w:rPr>
        <w:t xml:space="preserve">радионуклида у </w:t>
      </w:r>
      <w:proofErr w:type="spellStart"/>
      <w:r w:rsidR="00D734F7" w:rsidRPr="00FD32EC">
        <w:rPr>
          <w:rFonts w:eastAsia="Times New Roman"/>
          <w:lang w:eastAsia="sr-Latn-RS"/>
        </w:rPr>
        <w:t>посуђ</w:t>
      </w:r>
      <w:proofErr w:type="spellEnd"/>
      <w:r w:rsidR="00D734F7" w:rsidRPr="00FD32EC">
        <w:rPr>
          <w:rFonts w:eastAsia="Times New Roman"/>
          <w:lang w:val="sr-Cyrl-RS" w:eastAsia="sr-Latn-RS"/>
        </w:rPr>
        <w:t>у</w:t>
      </w:r>
      <w:r w:rsidR="00D734F7" w:rsidRPr="00FD32EC">
        <w:rPr>
          <w:rFonts w:eastAsia="Times New Roman"/>
          <w:lang w:eastAsia="sr-Latn-RS"/>
        </w:rPr>
        <w:t xml:space="preserve">, </w:t>
      </w:r>
      <w:proofErr w:type="spellStart"/>
      <w:r w:rsidR="00D734F7" w:rsidRPr="00FD32EC">
        <w:rPr>
          <w:rFonts w:eastAsia="Times New Roman"/>
          <w:lang w:eastAsia="sr-Latn-RS"/>
        </w:rPr>
        <w:t>прибор</w:t>
      </w:r>
      <w:proofErr w:type="spellEnd"/>
      <w:r w:rsidR="00D734F7" w:rsidRPr="00FD32EC">
        <w:rPr>
          <w:rFonts w:eastAsia="Times New Roman"/>
          <w:lang w:val="sr-Cyrl-RS" w:eastAsia="sr-Latn-RS"/>
        </w:rPr>
        <w:t>у</w:t>
      </w:r>
      <w:r w:rsidR="00D734F7" w:rsidRPr="00FD32EC">
        <w:rPr>
          <w:rFonts w:eastAsia="Times New Roman"/>
          <w:lang w:eastAsia="sr-Latn-RS"/>
        </w:rPr>
        <w:t xml:space="preserve">, </w:t>
      </w:r>
      <w:proofErr w:type="spellStart"/>
      <w:r w:rsidR="00D734F7" w:rsidRPr="00FD32EC">
        <w:rPr>
          <w:rFonts w:eastAsia="Times New Roman"/>
          <w:lang w:eastAsia="sr-Latn-RS"/>
        </w:rPr>
        <w:t>постројењима</w:t>
      </w:r>
      <w:proofErr w:type="spellEnd"/>
      <w:r w:rsidR="00D734F7" w:rsidRPr="00FD32EC">
        <w:rPr>
          <w:rFonts w:eastAsia="Times New Roman"/>
          <w:lang w:eastAsia="sr-Latn-RS"/>
        </w:rPr>
        <w:t xml:space="preserve">, </w:t>
      </w:r>
      <w:proofErr w:type="spellStart"/>
      <w:r w:rsidR="00D734F7" w:rsidRPr="00FD32EC">
        <w:rPr>
          <w:rFonts w:eastAsia="Times New Roman"/>
          <w:lang w:eastAsia="sr-Latn-RS"/>
        </w:rPr>
        <w:t>уређаји</w:t>
      </w:r>
      <w:proofErr w:type="spellEnd"/>
      <w:r w:rsidR="00D734F7" w:rsidRPr="00FD32EC">
        <w:rPr>
          <w:rFonts w:eastAsia="Times New Roman"/>
          <w:lang w:val="sr-Cyrl-RS" w:eastAsia="sr-Latn-RS"/>
        </w:rPr>
        <w:t>ма</w:t>
      </w:r>
      <w:r w:rsidR="00D734F7" w:rsidRPr="00FD32EC">
        <w:rPr>
          <w:rFonts w:eastAsia="Times New Roman"/>
          <w:lang w:eastAsia="sr-Latn-RS"/>
        </w:rPr>
        <w:t xml:space="preserve"> и </w:t>
      </w:r>
      <w:proofErr w:type="spellStart"/>
      <w:r w:rsidR="00D734F7" w:rsidRPr="00FD32EC">
        <w:rPr>
          <w:rFonts w:eastAsia="Times New Roman"/>
          <w:lang w:eastAsia="sr-Latn-RS"/>
        </w:rPr>
        <w:t>амбалаж</w:t>
      </w:r>
      <w:proofErr w:type="spellEnd"/>
      <w:r w:rsidR="00D734F7" w:rsidRPr="00FD32EC">
        <w:rPr>
          <w:rFonts w:eastAsia="Times New Roman"/>
          <w:lang w:val="sr-Cyrl-RS" w:eastAsia="sr-Latn-RS"/>
        </w:rPr>
        <w:t>и</w:t>
      </w:r>
      <w:r w:rsidR="00D734F7" w:rsidRPr="00FD32EC">
        <w:rPr>
          <w:rFonts w:eastAsia="Times New Roman"/>
          <w:lang w:eastAsia="sr-Latn-RS"/>
        </w:rPr>
        <w:t xml:space="preserve"> </w:t>
      </w:r>
      <w:proofErr w:type="spellStart"/>
      <w:r w:rsidR="00D734F7" w:rsidRPr="00FD32EC">
        <w:rPr>
          <w:rFonts w:eastAsia="Times New Roman"/>
          <w:lang w:eastAsia="sr-Latn-RS"/>
        </w:rPr>
        <w:t>за</w:t>
      </w:r>
      <w:proofErr w:type="spellEnd"/>
      <w:r w:rsidR="00D734F7" w:rsidRPr="00FD32EC">
        <w:rPr>
          <w:rFonts w:eastAsia="Times New Roman"/>
          <w:lang w:eastAsia="sr-Latn-RS"/>
        </w:rPr>
        <w:t xml:space="preserve"> </w:t>
      </w:r>
      <w:proofErr w:type="spellStart"/>
      <w:r w:rsidR="00D734F7" w:rsidRPr="00FD32EC">
        <w:rPr>
          <w:rFonts w:eastAsia="Times New Roman"/>
          <w:lang w:eastAsia="sr-Latn-RS"/>
        </w:rPr>
        <w:t>намирнице</w:t>
      </w:r>
      <w:proofErr w:type="spellEnd"/>
      <w:r w:rsidR="00625DDF" w:rsidRPr="00FD32EC">
        <w:rPr>
          <w:rFonts w:eastAsia="Times New Roman"/>
          <w:lang w:val="sr-Cyrl-RS" w:eastAsia="sr-Latn-RS"/>
        </w:rPr>
        <w:t xml:space="preserve"> и другим производима који се користе за припремање или чување хране</w:t>
      </w:r>
      <w:r w:rsidR="00D734F7" w:rsidRPr="00FD32EC">
        <w:rPr>
          <w:rFonts w:eastAsia="Times New Roman"/>
          <w:lang w:val="sr-Cyrl-RS" w:eastAsia="sr-Latn-RS"/>
        </w:rPr>
        <w:t>,</w:t>
      </w:r>
      <w:r w:rsidR="00D734F7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средствима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за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одржавање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личне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хигијене</w:t>
      </w:r>
      <w:proofErr w:type="spellEnd"/>
      <w:r w:rsidR="002A33E2" w:rsidRPr="00FD32EC">
        <w:rPr>
          <w:rFonts w:eastAsia="Times New Roman"/>
          <w:lang w:eastAsia="sr-Latn-RS"/>
        </w:rPr>
        <w:t xml:space="preserve">, </w:t>
      </w:r>
      <w:proofErr w:type="spellStart"/>
      <w:r w:rsidR="002A33E2" w:rsidRPr="00FD32EC">
        <w:rPr>
          <w:rFonts w:eastAsia="Times New Roman"/>
          <w:lang w:eastAsia="sr-Latn-RS"/>
        </w:rPr>
        <w:t>негу</w:t>
      </w:r>
      <w:proofErr w:type="spellEnd"/>
      <w:r w:rsidR="002A33E2" w:rsidRPr="00FD32EC">
        <w:rPr>
          <w:rFonts w:eastAsia="Times New Roman"/>
          <w:lang w:eastAsia="sr-Latn-RS"/>
        </w:rPr>
        <w:t xml:space="preserve"> и </w:t>
      </w:r>
      <w:proofErr w:type="spellStart"/>
      <w:r w:rsidR="002A33E2" w:rsidRPr="00FD32EC">
        <w:rPr>
          <w:rFonts w:eastAsia="Times New Roman"/>
          <w:lang w:eastAsia="sr-Latn-RS"/>
        </w:rPr>
        <w:t>улепшавање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лица</w:t>
      </w:r>
      <w:proofErr w:type="spellEnd"/>
      <w:r w:rsidR="002A33E2" w:rsidRPr="00FD32EC">
        <w:rPr>
          <w:rFonts w:eastAsia="Times New Roman"/>
          <w:lang w:eastAsia="sr-Latn-RS"/>
        </w:rPr>
        <w:t xml:space="preserve"> и </w:t>
      </w:r>
      <w:proofErr w:type="spellStart"/>
      <w:r w:rsidR="002A33E2" w:rsidRPr="00FD32EC">
        <w:rPr>
          <w:rFonts w:eastAsia="Times New Roman"/>
          <w:lang w:eastAsia="sr-Latn-RS"/>
        </w:rPr>
        <w:t>тела</w:t>
      </w:r>
      <w:proofErr w:type="spellEnd"/>
      <w:r w:rsidR="002A33E2" w:rsidRPr="00FD32EC">
        <w:rPr>
          <w:rFonts w:eastAsia="Times New Roman"/>
          <w:lang w:eastAsia="sr-Latn-RS"/>
        </w:rPr>
        <w:t xml:space="preserve"> и </w:t>
      </w:r>
      <w:proofErr w:type="spellStart"/>
      <w:r w:rsidR="002A33E2" w:rsidRPr="00FD32EC">
        <w:rPr>
          <w:rFonts w:eastAsia="Times New Roman"/>
          <w:lang w:eastAsia="sr-Latn-RS"/>
        </w:rPr>
        <w:t>играчкама</w:t>
      </w:r>
      <w:proofErr w:type="spellEnd"/>
      <w:r w:rsidRPr="00FD32EC">
        <w:rPr>
          <w:rFonts w:eastAsia="Times New Roman"/>
          <w:lang w:val="sr-Cyrl-RS" w:eastAsia="sr-Latn-RS"/>
        </w:rPr>
        <w:t xml:space="preserve"> није дозвољено.</w:t>
      </w:r>
    </w:p>
    <w:p w14:paraId="7B9E18E3" w14:textId="77F6B8DB" w:rsidR="0054763C" w:rsidRPr="00FD32EC" w:rsidRDefault="000B6E72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Производи из става 1 овог члана у којима је </w:t>
      </w:r>
      <w:r w:rsidR="002E243D" w:rsidRPr="00FD32EC">
        <w:rPr>
          <w:rFonts w:eastAsia="Times New Roman"/>
          <w:lang w:val="sr-Cyrl-RS" w:eastAsia="sr-Latn-RS"/>
        </w:rPr>
        <w:t>с</w:t>
      </w:r>
      <w:r w:rsidR="00B06249" w:rsidRPr="00FD32EC">
        <w:rPr>
          <w:rFonts w:eastAsia="Times New Roman"/>
          <w:lang w:val="sr-Cyrl-RS" w:eastAsia="sr-Latn-RS"/>
        </w:rPr>
        <w:t xml:space="preserve">адржај природних радионуклида </w:t>
      </w:r>
      <w:r w:rsidR="002E243D" w:rsidRPr="00FD32EC">
        <w:rPr>
          <w:rFonts w:eastAsia="Times New Roman"/>
          <w:lang w:val="sr-Cyrl-RS" w:eastAsia="sr-Latn-RS"/>
        </w:rPr>
        <w:t xml:space="preserve">такав да употреба ових производа може да </w:t>
      </w:r>
      <w:r w:rsidR="00B06249" w:rsidRPr="00FD32EC">
        <w:rPr>
          <w:rFonts w:eastAsia="Times New Roman"/>
          <w:lang w:val="sr-Cyrl-RS" w:eastAsia="sr-Latn-RS"/>
        </w:rPr>
        <w:t xml:space="preserve">допринесе повећању </w:t>
      </w:r>
      <w:r w:rsidR="0028758C">
        <w:rPr>
          <w:rFonts w:eastAsia="Times New Roman"/>
          <w:lang w:val="sr-Cyrl-RS" w:eastAsia="sr-Latn-RS"/>
        </w:rPr>
        <w:t>нивоа излагања</w:t>
      </w:r>
      <w:r w:rsidR="003B226E" w:rsidRPr="00FD32EC">
        <w:rPr>
          <w:rFonts w:eastAsia="Times New Roman"/>
          <w:lang w:val="sr-Cyrl-RS" w:eastAsia="sr-Latn-RS"/>
        </w:rPr>
        <w:t xml:space="preserve"> становништв</w:t>
      </w:r>
      <w:r w:rsidR="0028758C">
        <w:rPr>
          <w:rFonts w:eastAsia="Times New Roman"/>
          <w:lang w:val="sr-Cyrl-RS" w:eastAsia="sr-Latn-RS"/>
        </w:rPr>
        <w:t>а</w:t>
      </w:r>
      <w:r w:rsidR="003B226E" w:rsidRPr="00FD32EC">
        <w:rPr>
          <w:rFonts w:eastAsia="Times New Roman"/>
          <w:lang w:val="sr-Cyrl-RS" w:eastAsia="sr-Latn-RS"/>
        </w:rPr>
        <w:t xml:space="preserve"> изнад </w:t>
      </w:r>
      <w:r w:rsidR="002E243D" w:rsidRPr="00FD32EC">
        <w:rPr>
          <w:rFonts w:eastAsia="Times New Roman"/>
          <w:lang w:val="sr-Cyrl-RS" w:eastAsia="sr-Latn-RS"/>
        </w:rPr>
        <w:t xml:space="preserve">референтног нивоа од </w:t>
      </w:r>
      <w:r w:rsidR="003B226E" w:rsidRPr="00FD32EC">
        <w:rPr>
          <w:rFonts w:eastAsia="Times New Roman"/>
          <w:lang w:val="sr-Cyrl-RS" w:eastAsia="sr-Latn-RS"/>
        </w:rPr>
        <w:t xml:space="preserve">1 </w:t>
      </w:r>
      <w:r w:rsidR="003B226E" w:rsidRPr="00FD32EC">
        <w:rPr>
          <w:rFonts w:eastAsia="Times New Roman"/>
          <w:lang w:val="en-US" w:eastAsia="sr-Latn-RS"/>
        </w:rPr>
        <w:t>mSv</w:t>
      </w:r>
      <w:r w:rsidR="003B226E" w:rsidRPr="00FD32EC">
        <w:rPr>
          <w:rFonts w:eastAsia="Times New Roman"/>
          <w:lang w:val="sr-Cyrl-RS" w:eastAsia="sr-Latn-RS"/>
        </w:rPr>
        <w:t>/год</w:t>
      </w:r>
      <w:r w:rsidR="002E243D" w:rsidRPr="00FD32EC">
        <w:rPr>
          <w:rFonts w:eastAsia="Times New Roman"/>
          <w:lang w:val="sr-Cyrl-RS" w:eastAsia="sr-Latn-RS"/>
        </w:rPr>
        <w:t xml:space="preserve"> </w:t>
      </w:r>
      <w:r w:rsidRPr="00FD32EC">
        <w:rPr>
          <w:rFonts w:eastAsia="Times New Roman"/>
          <w:lang w:val="sr-Cyrl-RS" w:eastAsia="sr-Latn-RS"/>
        </w:rPr>
        <w:t>не смеју се ставити у промет</w:t>
      </w:r>
      <w:r w:rsidR="003B226E" w:rsidRPr="00FD32EC">
        <w:rPr>
          <w:rFonts w:eastAsia="Times New Roman"/>
          <w:lang w:val="sr-Cyrl-RS" w:eastAsia="sr-Latn-RS"/>
        </w:rPr>
        <w:t>.</w:t>
      </w:r>
      <w:r w:rsidR="002A33E2" w:rsidRPr="00FD32EC">
        <w:rPr>
          <w:rFonts w:eastAsia="Times New Roman"/>
          <w:lang w:eastAsia="sr-Latn-RS"/>
        </w:rPr>
        <w:t xml:space="preserve"> </w:t>
      </w:r>
      <w:bookmarkStart w:id="8" w:name="clan_11"/>
      <w:bookmarkStart w:id="9" w:name="clan_11a"/>
      <w:bookmarkEnd w:id="8"/>
      <w:bookmarkEnd w:id="9"/>
    </w:p>
    <w:p w14:paraId="23BA48BC" w14:textId="77777777" w:rsidR="0054763C" w:rsidRPr="00FD32EC" w:rsidRDefault="0054763C" w:rsidP="0054763C">
      <w:pPr>
        <w:spacing w:after="120"/>
        <w:jc w:val="both"/>
        <w:rPr>
          <w:rFonts w:eastAsia="Times New Roman"/>
          <w:lang w:val="sr-Cyrl-RS" w:eastAsia="sr-Latn-RS"/>
        </w:rPr>
      </w:pPr>
    </w:p>
    <w:p w14:paraId="430EFDF2" w14:textId="7B2DB65F" w:rsidR="001E048C" w:rsidRPr="00FD32EC" w:rsidRDefault="000C5B45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Границе</w:t>
      </w:r>
      <w:r w:rsidR="001E048C" w:rsidRPr="00FD32EC">
        <w:rPr>
          <w:rFonts w:eastAsia="Times New Roman"/>
          <w:lang w:val="sr-Cyrl-RS" w:eastAsia="sr-Latn-RS"/>
        </w:rPr>
        <w:t xml:space="preserve"> садржаја радионуклида у минералним ђубривима</w:t>
      </w:r>
    </w:p>
    <w:p w14:paraId="7FFD0A02" w14:textId="21A0654F" w:rsidR="002A33E2" w:rsidRPr="00FD32EC" w:rsidRDefault="00F94931" w:rsidP="0054763C">
      <w:pPr>
        <w:spacing w:after="120"/>
        <w:jc w:val="center"/>
        <w:rPr>
          <w:rFonts w:eastAsia="Times New Roman"/>
          <w:lang w:eastAsia="sr-Latn-RS"/>
        </w:rPr>
      </w:pPr>
      <w:r w:rsidRPr="00FD32EC">
        <w:rPr>
          <w:rFonts w:eastAsia="Times New Roman"/>
          <w:lang w:val="sr-Cyrl-RS" w:eastAsia="sr-Latn-RS"/>
        </w:rPr>
        <w:t xml:space="preserve">Члан </w:t>
      </w:r>
      <w:r w:rsidR="0094076C" w:rsidRPr="00FD32EC">
        <w:rPr>
          <w:rFonts w:eastAsia="Times New Roman"/>
          <w:lang w:val="sr-Cyrl-RS"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4</w:t>
      </w:r>
      <w:r w:rsidR="0094076C" w:rsidRPr="00FD32EC">
        <w:rPr>
          <w:rFonts w:eastAsia="Times New Roman"/>
          <w:lang w:val="sr-Cyrl-RS" w:eastAsia="sr-Latn-RS"/>
        </w:rPr>
        <w:t>.</w:t>
      </w:r>
      <w:r w:rsidR="0094076C" w:rsidRPr="00FD32EC">
        <w:rPr>
          <w:rFonts w:eastAsia="Times New Roman"/>
          <w:lang w:eastAsia="sr-Latn-RS"/>
        </w:rPr>
        <w:t xml:space="preserve"> </w:t>
      </w:r>
    </w:p>
    <w:p w14:paraId="2217D871" w14:textId="349788D9" w:rsidR="00DE5014" w:rsidRPr="00FD32EC" w:rsidRDefault="00DE5014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Показатељ</w:t>
      </w:r>
      <w:r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>на основу ко</w:t>
      </w:r>
      <w:r w:rsidR="00967709" w:rsidRPr="00FD32EC">
        <w:rPr>
          <w:rFonts w:eastAsia="Times New Roman"/>
          <w:bCs/>
          <w:lang w:val="sr-Cyrl-RS" w:eastAsia="sr-Latn-RS"/>
        </w:rPr>
        <w:t>га</w:t>
      </w:r>
      <w:r w:rsidRPr="00FD32EC">
        <w:rPr>
          <w:rFonts w:eastAsia="Times New Roman"/>
          <w:bCs/>
          <w:lang w:val="sr-Cyrl-RS" w:eastAsia="sr-Latn-RS"/>
        </w:rPr>
        <w:t xml:space="preserve"> се врши </w:t>
      </w:r>
      <w:proofErr w:type="spellStart"/>
      <w:r w:rsidRPr="00FD32EC">
        <w:rPr>
          <w:rFonts w:eastAsia="Times New Roman"/>
          <w:bCs/>
          <w:lang w:eastAsia="sr-Latn-RS"/>
        </w:rPr>
        <w:t>контрол</w:t>
      </w:r>
      <w:proofErr w:type="spellEnd"/>
      <w:r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радионуклида</w:t>
      </w:r>
      <w:r w:rsidRPr="00FD32EC">
        <w:rPr>
          <w:rFonts w:eastAsia="Times New Roman"/>
          <w:lang w:val="sr-Cyrl-RS" w:eastAsia="sr-Latn-RS"/>
        </w:rPr>
        <w:t xml:space="preserve"> у минералним ђубривима </w:t>
      </w:r>
      <w:r w:rsidR="00967709" w:rsidRPr="00FD32EC">
        <w:rPr>
          <w:rFonts w:eastAsia="Times New Roman"/>
          <w:lang w:val="sr-Cyrl-RS" w:eastAsia="sr-Latn-RS"/>
        </w:rPr>
        <w:t>је</w:t>
      </w:r>
      <w:r w:rsidRPr="00FD32EC">
        <w:rPr>
          <w:rFonts w:eastAsia="Times New Roman"/>
          <w:lang w:val="sr-Cyrl-RS" w:eastAsia="sr-Latn-RS"/>
        </w:rPr>
        <w:t xml:space="preserve"> границ</w:t>
      </w:r>
      <w:r w:rsidR="00967709" w:rsidRPr="00FD32EC">
        <w:rPr>
          <w:rFonts w:eastAsia="Times New Roman"/>
          <w:lang w:val="sr-Cyrl-RS" w:eastAsia="sr-Latn-RS"/>
        </w:rPr>
        <w:t>а</w:t>
      </w:r>
      <w:r w:rsidRPr="00FD32EC">
        <w:rPr>
          <w:rFonts w:eastAsia="Times New Roman"/>
          <w:lang w:val="sr-Cyrl-RS" w:eastAsia="sr-Latn-RS"/>
        </w:rPr>
        <w:t xml:space="preserve"> садржаја радионуклида.</w:t>
      </w:r>
    </w:p>
    <w:p w14:paraId="2975D980" w14:textId="692741E5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Граница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природних</w:t>
      </w:r>
      <w:proofErr w:type="spellEnd"/>
      <w:r w:rsidRPr="00FD32EC">
        <w:rPr>
          <w:rFonts w:eastAsia="Times New Roman"/>
          <w:lang w:eastAsia="sr-Latn-RS"/>
        </w:rPr>
        <w:t xml:space="preserve"> радионуклида у </w:t>
      </w:r>
      <w:proofErr w:type="spellStart"/>
      <w:r w:rsidRPr="00FD32EC">
        <w:rPr>
          <w:rFonts w:eastAsia="Times New Roman"/>
          <w:lang w:eastAsia="sr-Latn-RS"/>
        </w:rPr>
        <w:t>минералним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ђубривима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износи</w:t>
      </w:r>
      <w:proofErr w:type="spellEnd"/>
      <w:r w:rsidRPr="00FD32EC">
        <w:rPr>
          <w:rFonts w:eastAsia="Times New Roman"/>
          <w:lang w:eastAsia="sr-Latn-RS"/>
        </w:rPr>
        <w:t xml:space="preserve">: </w:t>
      </w:r>
    </w:p>
    <w:p w14:paraId="2925D732" w14:textId="77777777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1)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уранијум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238</w:t>
      </w:r>
      <w:r w:rsidR="00B614A9" w:rsidRPr="00FD32EC">
        <w:rPr>
          <w:rFonts w:eastAsia="Times New Roman"/>
          <w:lang w:eastAsia="sr-Latn-RS"/>
        </w:rPr>
        <w:t>U</w:t>
      </w:r>
      <w:r w:rsidRPr="00FD32EC">
        <w:rPr>
          <w:rFonts w:eastAsia="Times New Roman"/>
          <w:lang w:eastAsia="sr-Latn-RS"/>
        </w:rPr>
        <w:t xml:space="preserve">): </w:t>
      </w:r>
    </w:p>
    <w:p w14:paraId="2BBD6EE2" w14:textId="77777777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- 1600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, и </w:t>
      </w:r>
      <w:proofErr w:type="spellStart"/>
      <w:r w:rsidRPr="00FD32EC">
        <w:rPr>
          <w:rFonts w:eastAsia="Times New Roman"/>
          <w:lang w:eastAsia="sr-Latn-RS"/>
        </w:rPr>
        <w:t>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минерална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ђубрива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макрохранљиви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елемент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фосфор</w:t>
      </w:r>
      <w:proofErr w:type="spellEnd"/>
      <w:r w:rsidRPr="00FD32EC">
        <w:rPr>
          <w:rFonts w:eastAsia="Times New Roman"/>
          <w:lang w:eastAsia="sr-Latn-RS"/>
        </w:rPr>
        <w:t xml:space="preserve">, а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таква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стављају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промет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примењују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</w:p>
    <w:p w14:paraId="1D53A627" w14:textId="77777777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- 3200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="00FF5464" w:rsidRPr="00FD32EC">
        <w:rPr>
          <w:rFonts w:eastAsia="Times New Roman"/>
          <w:lang w:eastAsia="sr-Latn-RS"/>
        </w:rPr>
        <w:t xml:space="preserve">, и </w:t>
      </w:r>
      <w:proofErr w:type="spellStart"/>
      <w:r w:rsidR="00FF5464" w:rsidRPr="00FD32EC">
        <w:rPr>
          <w:rFonts w:eastAsia="Times New Roman"/>
          <w:lang w:eastAsia="sr-Latn-RS"/>
        </w:rPr>
        <w:t>то</w:t>
      </w:r>
      <w:proofErr w:type="spellEnd"/>
      <w:r w:rsidR="00FF5464" w:rsidRPr="00FD32EC">
        <w:rPr>
          <w:rFonts w:eastAsia="Times New Roman"/>
          <w:lang w:eastAsia="sr-Latn-RS"/>
        </w:rPr>
        <w:t xml:space="preserve"> </w:t>
      </w:r>
      <w:proofErr w:type="spellStart"/>
      <w:r w:rsidR="00FF5464" w:rsidRPr="00FD32EC">
        <w:rPr>
          <w:rFonts w:eastAsia="Times New Roman"/>
          <w:lang w:eastAsia="sr-Latn-RS"/>
        </w:rPr>
        <w:t>за</w:t>
      </w:r>
      <w:proofErr w:type="spellEnd"/>
      <w:r w:rsidR="00FF5464" w:rsidRPr="00FD32EC">
        <w:rPr>
          <w:rFonts w:eastAsia="Times New Roman"/>
          <w:lang w:eastAsia="sr-Latn-RS"/>
        </w:rPr>
        <w:t xml:space="preserve"> </w:t>
      </w:r>
      <w:r w:rsidR="00813E07" w:rsidRPr="00FD32EC">
        <w:rPr>
          <w:rFonts w:eastAsia="Times New Roman"/>
          <w:lang w:val="sr-Cyrl-RS" w:eastAsia="sr-Latn-RS"/>
        </w:rPr>
        <w:t>компоненте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производњу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минералних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ђубрива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макрохранљиви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елемент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фосфор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2D19D5AD" w14:textId="25846777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2)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радијум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226</w:t>
      </w:r>
      <w:r w:rsidR="00B614A9" w:rsidRPr="00FD32EC">
        <w:rPr>
          <w:rFonts w:eastAsia="Times New Roman"/>
          <w:lang w:eastAsia="sr-Latn-RS"/>
        </w:rPr>
        <w:t>Ra</w:t>
      </w:r>
      <w:r w:rsidRPr="00FD32EC">
        <w:rPr>
          <w:rFonts w:eastAsia="Times New Roman"/>
          <w:lang w:eastAsia="sr-Latn-RS"/>
        </w:rPr>
        <w:t xml:space="preserve">): 1000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, и </w:t>
      </w:r>
      <w:proofErr w:type="spellStart"/>
      <w:r w:rsidRPr="00FD32EC">
        <w:rPr>
          <w:rFonts w:eastAsia="Times New Roman"/>
          <w:lang w:eastAsia="sr-Latn-RS"/>
        </w:rPr>
        <w:t>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минерална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ђубрива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макрохранљиви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елемент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фосфор</w:t>
      </w:r>
      <w:proofErr w:type="spellEnd"/>
      <w:r w:rsidRPr="00FD32EC">
        <w:rPr>
          <w:rFonts w:eastAsia="Times New Roman"/>
          <w:lang w:eastAsia="sr-Latn-RS"/>
        </w:rPr>
        <w:t xml:space="preserve">, а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таква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стављају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промет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примењују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као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992926" w:rsidRPr="00FD32EC">
        <w:rPr>
          <w:rFonts w:eastAsia="Times New Roman"/>
          <w:lang w:val="sr-Cyrl-RS" w:eastAsia="sr-Latn-RS"/>
        </w:rPr>
        <w:t>компоненте</w:t>
      </w:r>
      <w:r w:rsidR="00992926"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њихову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производњу</w:t>
      </w:r>
      <w:proofErr w:type="spellEnd"/>
      <w:r w:rsidRPr="00FD32EC">
        <w:rPr>
          <w:rFonts w:eastAsia="Times New Roman"/>
          <w:lang w:eastAsia="sr-Latn-RS"/>
        </w:rPr>
        <w:t xml:space="preserve">; </w:t>
      </w:r>
    </w:p>
    <w:p w14:paraId="53270777" w14:textId="77777777" w:rsidR="002A33E2" w:rsidRPr="00FD32EC" w:rsidRDefault="002A33E2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eastAsia="sr-Latn-RS"/>
        </w:rPr>
        <w:t xml:space="preserve">3)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калијум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40</w:t>
      </w:r>
      <w:r w:rsidRPr="00FD32EC">
        <w:rPr>
          <w:rFonts w:eastAsia="Times New Roman"/>
          <w:lang w:eastAsia="sr-Latn-RS"/>
        </w:rPr>
        <w:t xml:space="preserve">К): 27000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, и </w:t>
      </w:r>
      <w:proofErr w:type="spellStart"/>
      <w:r w:rsidRPr="00FD32EC">
        <w:rPr>
          <w:rFonts w:eastAsia="Times New Roman"/>
          <w:lang w:eastAsia="sr-Latn-RS"/>
        </w:rPr>
        <w:t>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минерална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ђубрива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макрохранљиве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елементе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калијум</w:t>
      </w:r>
      <w:proofErr w:type="spellEnd"/>
      <w:r w:rsidRPr="00FD32EC">
        <w:rPr>
          <w:rFonts w:eastAsia="Times New Roman"/>
          <w:lang w:eastAsia="sr-Latn-RS"/>
        </w:rPr>
        <w:t xml:space="preserve"> и/</w:t>
      </w:r>
      <w:proofErr w:type="spellStart"/>
      <w:r w:rsidRPr="00FD32EC">
        <w:rPr>
          <w:rFonts w:eastAsia="Times New Roman"/>
          <w:lang w:eastAsia="sr-Latn-RS"/>
        </w:rPr>
        <w:t>или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фосфор</w:t>
      </w:r>
      <w:proofErr w:type="spellEnd"/>
      <w:r w:rsidRPr="00FD32EC">
        <w:rPr>
          <w:rFonts w:eastAsia="Times New Roman"/>
          <w:lang w:eastAsia="sr-Latn-RS"/>
        </w:rPr>
        <w:t xml:space="preserve">, а </w:t>
      </w:r>
      <w:proofErr w:type="spellStart"/>
      <w:r w:rsidRPr="00FD32EC">
        <w:rPr>
          <w:rFonts w:eastAsia="Times New Roman"/>
          <w:lang w:eastAsia="sr-Latn-RS"/>
        </w:rPr>
        <w:t>која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таква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стављају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proofErr w:type="spellStart"/>
      <w:r w:rsidRPr="00FD32EC">
        <w:rPr>
          <w:rFonts w:eastAsia="Times New Roman"/>
          <w:lang w:eastAsia="sr-Latn-RS"/>
        </w:rPr>
        <w:t>промет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примењују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као</w:t>
      </w:r>
      <w:proofErr w:type="spellEnd"/>
      <w:r w:rsidRPr="00FD32EC">
        <w:rPr>
          <w:rFonts w:eastAsia="Times New Roman"/>
          <w:lang w:eastAsia="sr-Latn-RS"/>
        </w:rPr>
        <w:t xml:space="preserve"> и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813E07" w:rsidRPr="00FD32EC">
        <w:rPr>
          <w:rFonts w:eastAsia="Times New Roman"/>
          <w:lang w:val="sr-Cyrl-RS" w:eastAsia="sr-Latn-RS"/>
        </w:rPr>
        <w:t xml:space="preserve">компоненте </w:t>
      </w:r>
      <w:proofErr w:type="spellStart"/>
      <w:r w:rsidRPr="00FD32EC">
        <w:rPr>
          <w:rFonts w:eastAsia="Times New Roman"/>
          <w:lang w:eastAsia="sr-Latn-RS"/>
        </w:rPr>
        <w:t>за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њихову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производњу</w:t>
      </w:r>
      <w:proofErr w:type="spellEnd"/>
      <w:r w:rsidRPr="00FD32EC">
        <w:rPr>
          <w:rFonts w:eastAsia="Times New Roman"/>
          <w:lang w:eastAsia="sr-Latn-RS"/>
        </w:rPr>
        <w:t>.</w:t>
      </w:r>
    </w:p>
    <w:p w14:paraId="1FF4038F" w14:textId="77777777" w:rsidR="0054763C" w:rsidRPr="00FD32EC" w:rsidRDefault="0054763C" w:rsidP="0054763C">
      <w:pPr>
        <w:spacing w:after="120"/>
        <w:jc w:val="both"/>
        <w:rPr>
          <w:rFonts w:eastAsia="Times New Roman"/>
          <w:lang w:val="sr-Cyrl-RS" w:eastAsia="sr-Latn-RS"/>
        </w:rPr>
      </w:pPr>
    </w:p>
    <w:p w14:paraId="08E3723A" w14:textId="0DCADD45" w:rsidR="001E048C" w:rsidRPr="00FD32EC" w:rsidRDefault="00992926" w:rsidP="0054763C">
      <w:pPr>
        <w:spacing w:after="120"/>
        <w:jc w:val="center"/>
        <w:rPr>
          <w:rFonts w:eastAsia="Times New Roman"/>
          <w:lang w:val="sr-Cyrl-RS" w:eastAsia="sr-Latn-RS"/>
        </w:rPr>
      </w:pPr>
      <w:bookmarkStart w:id="10" w:name="clan_12"/>
      <w:bookmarkStart w:id="11" w:name="clan_13"/>
      <w:bookmarkEnd w:id="10"/>
      <w:bookmarkEnd w:id="11"/>
      <w:r w:rsidRPr="00FD32EC">
        <w:rPr>
          <w:rFonts w:eastAsia="Times New Roman"/>
          <w:lang w:val="sr-Cyrl-RS" w:eastAsia="sr-Latn-RS"/>
        </w:rPr>
        <w:t>С</w:t>
      </w:r>
      <w:proofErr w:type="spellStart"/>
      <w:r w:rsidR="001E048C" w:rsidRPr="00FD32EC">
        <w:rPr>
          <w:rFonts w:eastAsia="Times New Roman"/>
          <w:lang w:eastAsia="sr-Latn-RS"/>
        </w:rPr>
        <w:t>адржај</w:t>
      </w:r>
      <w:proofErr w:type="spellEnd"/>
      <w:r w:rsidR="001E048C" w:rsidRPr="00FD32EC">
        <w:rPr>
          <w:rFonts w:eastAsia="Times New Roman"/>
          <w:lang w:eastAsia="sr-Latn-RS"/>
        </w:rPr>
        <w:t xml:space="preserve"> радионуклида у </w:t>
      </w:r>
      <w:proofErr w:type="spellStart"/>
      <w:r w:rsidR="001E048C" w:rsidRPr="00FD32EC">
        <w:rPr>
          <w:rFonts w:eastAsia="Times New Roman"/>
          <w:lang w:eastAsia="sr-Latn-RS"/>
        </w:rPr>
        <w:t>грађевинском</w:t>
      </w:r>
      <w:proofErr w:type="spellEnd"/>
      <w:r w:rsidR="001E048C" w:rsidRPr="00FD32EC">
        <w:rPr>
          <w:rFonts w:eastAsia="Times New Roman"/>
          <w:lang w:eastAsia="sr-Latn-RS"/>
        </w:rPr>
        <w:t xml:space="preserve"> </w:t>
      </w:r>
      <w:proofErr w:type="spellStart"/>
      <w:r w:rsidR="001E048C" w:rsidRPr="00FD32EC">
        <w:rPr>
          <w:rFonts w:eastAsia="Times New Roman"/>
          <w:lang w:eastAsia="sr-Latn-RS"/>
        </w:rPr>
        <w:t>материјалу</w:t>
      </w:r>
      <w:proofErr w:type="spellEnd"/>
    </w:p>
    <w:p w14:paraId="235A93AC" w14:textId="46FF3C3B" w:rsidR="00012F2C" w:rsidRPr="00FD32EC" w:rsidRDefault="00012F2C" w:rsidP="0054763C">
      <w:pPr>
        <w:spacing w:after="120"/>
        <w:jc w:val="center"/>
        <w:rPr>
          <w:rFonts w:eastAsia="Times New Roman"/>
          <w:b/>
          <w:bCs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Члан </w:t>
      </w:r>
      <w:r w:rsidR="001D3803" w:rsidRPr="00FD32EC">
        <w:rPr>
          <w:rFonts w:eastAsia="Times New Roman"/>
          <w:lang w:val="sr-Cyrl-RS"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5</w:t>
      </w:r>
      <w:r w:rsidR="0094076C" w:rsidRPr="00FD32EC">
        <w:rPr>
          <w:rFonts w:eastAsia="Times New Roman"/>
          <w:lang w:val="sr-Cyrl-RS" w:eastAsia="sr-Latn-RS"/>
        </w:rPr>
        <w:t>.</w:t>
      </w:r>
    </w:p>
    <w:p w14:paraId="08ADC69A" w14:textId="77777777" w:rsidR="00ED1D88" w:rsidRPr="00FD32EC" w:rsidRDefault="009D07F5" w:rsidP="0054763C">
      <w:p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Показатељи</w:t>
      </w:r>
      <w:r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 xml:space="preserve">на основу којих се врши </w:t>
      </w:r>
      <w:proofErr w:type="spellStart"/>
      <w:r w:rsidRPr="00FD32EC">
        <w:rPr>
          <w:rFonts w:eastAsia="Times New Roman"/>
          <w:bCs/>
          <w:lang w:eastAsia="sr-Latn-RS"/>
        </w:rPr>
        <w:t>контрол</w:t>
      </w:r>
      <w:proofErr w:type="spellEnd"/>
      <w:r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радионуклида</w:t>
      </w:r>
      <w:r w:rsidRPr="00FD32EC">
        <w:rPr>
          <w:rFonts w:eastAsia="Times New Roman"/>
          <w:lang w:val="sr-Cyrl-RS" w:eastAsia="sr-Latn-RS"/>
        </w:rPr>
        <w:t xml:space="preserve"> у грађевинском материјалу су</w:t>
      </w:r>
      <w:r w:rsidR="00ED1D88" w:rsidRPr="00FD32EC">
        <w:rPr>
          <w:rFonts w:eastAsia="Times New Roman"/>
          <w:lang w:val="sr-Cyrl-RS" w:eastAsia="sr-Latn-RS"/>
        </w:rPr>
        <w:t>:</w:t>
      </w:r>
    </w:p>
    <w:p w14:paraId="308D19AC" w14:textId="2A41FC37" w:rsidR="006A2607" w:rsidRPr="00FD32EC" w:rsidRDefault="009D07F5" w:rsidP="003E1F36">
      <w:pPr>
        <w:pStyle w:val="ListParagraph"/>
        <w:numPr>
          <w:ilvl w:val="0"/>
          <w:numId w:val="22"/>
        </w:num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lang w:val="sr-Cyrl-RS"/>
        </w:rPr>
        <w:t>гама индекс</w:t>
      </w:r>
      <w:r w:rsidR="000663CA" w:rsidRPr="00FD32EC">
        <w:rPr>
          <w:lang w:val="sr-Cyrl-RS"/>
        </w:rPr>
        <w:t xml:space="preserve"> који се израчунава на основу вредности измерених активности Ra-226, Th-232 (или Ra-228) и K-40 према једначини</w:t>
      </w:r>
      <w:r w:rsidRPr="00FD32EC">
        <w:rPr>
          <w:lang w:val="sr-Cyrl-RS"/>
        </w:rPr>
        <w:t xml:space="preserve"> </w:t>
      </w:r>
      <w:r w:rsidR="000663CA" w:rsidRPr="00FD32EC">
        <w:rPr>
          <w:lang w:val="sr-Cyrl-RS"/>
        </w:rPr>
        <w:t xml:space="preserve">из Прилога 2 </w:t>
      </w:r>
      <w:r w:rsidRPr="00FD32EC">
        <w:rPr>
          <w:lang w:val="sr-Cyrl-RS"/>
        </w:rPr>
        <w:t>и</w:t>
      </w:r>
    </w:p>
    <w:p w14:paraId="0257789D" w14:textId="3A8F8FD1" w:rsidR="009D07F5" w:rsidRPr="00FD32EC" w:rsidRDefault="009D07F5" w:rsidP="003E1F36">
      <w:pPr>
        <w:pStyle w:val="ListParagraph"/>
        <w:numPr>
          <w:ilvl w:val="0"/>
          <w:numId w:val="22"/>
        </w:numPr>
        <w:spacing w:after="120"/>
        <w:jc w:val="both"/>
        <w:rPr>
          <w:rFonts w:eastAsia="Times New Roman"/>
          <w:lang w:val="sr-Cyrl-RS" w:eastAsia="sr-Latn-RS"/>
        </w:rPr>
      </w:pPr>
      <w:r w:rsidRPr="00FD32EC">
        <w:rPr>
          <w:lang w:val="sr-Cyrl-RS"/>
        </w:rPr>
        <w:t>референтни ниво за спољашње излагање у затвореном простору.</w:t>
      </w:r>
    </w:p>
    <w:p w14:paraId="64DFF723" w14:textId="60CBB7CF" w:rsidR="00012F2C" w:rsidRPr="00FD32EC" w:rsidRDefault="00834DF1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Референтни</w:t>
      </w:r>
      <w:r w:rsidR="00F02587" w:rsidRPr="00FD32EC">
        <w:rPr>
          <w:rFonts w:eastAsia="Times New Roman"/>
          <w:bCs/>
          <w:lang w:val="sr-Cyrl-RS"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 xml:space="preserve">ниво </w:t>
      </w:r>
      <w:r w:rsidR="00C70D52" w:rsidRPr="00FD32EC">
        <w:rPr>
          <w:rFonts w:eastAsia="Times New Roman"/>
          <w:bCs/>
          <w:lang w:val="sr-Cyrl-RS" w:eastAsia="sr-Latn-RS"/>
        </w:rPr>
        <w:t xml:space="preserve">за </w:t>
      </w:r>
      <w:r w:rsidRPr="00FD32EC">
        <w:rPr>
          <w:rFonts w:eastAsia="Times New Roman"/>
          <w:bCs/>
          <w:lang w:val="sr-Cyrl-RS" w:eastAsia="sr-Latn-RS"/>
        </w:rPr>
        <w:t xml:space="preserve">спољашње </w:t>
      </w:r>
      <w:r w:rsidR="00A768E3" w:rsidRPr="00FD32EC">
        <w:rPr>
          <w:rFonts w:eastAsia="Times New Roman"/>
          <w:bCs/>
          <w:lang w:val="sr-Cyrl-RS" w:eastAsia="sr-Latn-RS"/>
        </w:rPr>
        <w:t xml:space="preserve">излагање </w:t>
      </w:r>
      <w:r w:rsidRPr="00FD32EC">
        <w:rPr>
          <w:rFonts w:eastAsia="Times New Roman"/>
          <w:bCs/>
          <w:lang w:val="sr-Cyrl-RS" w:eastAsia="sr-Latn-RS"/>
        </w:rPr>
        <w:t>у затвореном простору</w:t>
      </w:r>
      <w:r w:rsidR="00FC2382" w:rsidRPr="00FD32EC">
        <w:rPr>
          <w:rFonts w:eastAsia="Times New Roman"/>
          <w:bCs/>
          <w:lang w:eastAsia="sr-Latn-RS"/>
        </w:rPr>
        <w:t>,</w:t>
      </w:r>
      <w:r w:rsidRPr="00FD32EC">
        <w:rPr>
          <w:rFonts w:eastAsia="Times New Roman"/>
          <w:bCs/>
          <w:lang w:val="sr-Cyrl-RS" w:eastAsia="sr-Latn-RS"/>
        </w:rPr>
        <w:t xml:space="preserve"> </w:t>
      </w:r>
      <w:r w:rsidR="00DA69CA" w:rsidRPr="00FD32EC">
        <w:rPr>
          <w:rFonts w:eastAsia="Times New Roman"/>
          <w:bCs/>
          <w:lang w:val="sr-Cyrl-RS" w:eastAsia="sr-Latn-RS"/>
        </w:rPr>
        <w:t>које потиче од</w:t>
      </w:r>
      <w:r w:rsidRPr="00FD32EC">
        <w:rPr>
          <w:rFonts w:eastAsia="Times New Roman"/>
          <w:bCs/>
          <w:lang w:val="sr-Cyrl-RS" w:eastAsia="sr-Latn-RS"/>
        </w:rPr>
        <w:t xml:space="preserve"> гама емит</w:t>
      </w:r>
      <w:r w:rsidR="00FC2382" w:rsidRPr="00FD32EC">
        <w:rPr>
          <w:rFonts w:eastAsia="Times New Roman"/>
          <w:bCs/>
          <w:lang w:val="sr-Cyrl-RS" w:eastAsia="sr-Latn-RS"/>
        </w:rPr>
        <w:t>ера из грађевинског материјала</w:t>
      </w:r>
      <w:r w:rsidR="00A768E3" w:rsidRPr="00FD32EC">
        <w:rPr>
          <w:rFonts w:eastAsia="Times New Roman"/>
          <w:bCs/>
          <w:lang w:val="sr-Cyrl-RS" w:eastAsia="sr-Latn-RS"/>
        </w:rPr>
        <w:t>,</w:t>
      </w:r>
      <w:r w:rsidR="00FC2382" w:rsidRPr="00FD32EC">
        <w:rPr>
          <w:rFonts w:eastAsia="Times New Roman"/>
          <w:bCs/>
          <w:lang w:val="sr-Cyrl-RS" w:eastAsia="sr-Latn-RS"/>
        </w:rPr>
        <w:t xml:space="preserve"> </w:t>
      </w:r>
      <w:r w:rsidR="00C70D52" w:rsidRPr="00FD32EC">
        <w:rPr>
          <w:rFonts w:eastAsia="Times New Roman"/>
          <w:bCs/>
          <w:lang w:val="sr-Cyrl-RS" w:eastAsia="sr-Latn-RS"/>
        </w:rPr>
        <w:t xml:space="preserve">не укључујући спољашње </w:t>
      </w:r>
      <w:r w:rsidR="00A949E6" w:rsidRPr="00FD32EC">
        <w:rPr>
          <w:rFonts w:eastAsia="Times New Roman"/>
          <w:bCs/>
          <w:lang w:val="sr-Cyrl-RS" w:eastAsia="sr-Latn-RS"/>
        </w:rPr>
        <w:t xml:space="preserve">излагање </w:t>
      </w:r>
      <w:r w:rsidR="00C70D52" w:rsidRPr="00FD32EC">
        <w:rPr>
          <w:rFonts w:eastAsia="Times New Roman"/>
          <w:bCs/>
          <w:lang w:val="sr-Cyrl-RS" w:eastAsia="sr-Latn-RS"/>
        </w:rPr>
        <w:t xml:space="preserve">на отвореном простору, </w:t>
      </w:r>
      <w:r w:rsidR="00DA69CA" w:rsidRPr="00FD32EC">
        <w:rPr>
          <w:rFonts w:eastAsia="Times New Roman"/>
          <w:bCs/>
          <w:lang w:val="sr-Cyrl-RS" w:eastAsia="sr-Latn-RS"/>
        </w:rPr>
        <w:t>је 1</w:t>
      </w:r>
      <w:proofErr w:type="spellStart"/>
      <w:r w:rsidR="00DA69CA" w:rsidRPr="00FD32EC">
        <w:rPr>
          <w:rFonts w:eastAsia="Times New Roman"/>
          <w:bCs/>
          <w:lang w:eastAsia="sr-Latn-RS"/>
        </w:rPr>
        <w:t>mSv</w:t>
      </w:r>
      <w:proofErr w:type="spellEnd"/>
      <w:r w:rsidR="00DA69CA" w:rsidRPr="00FD32EC">
        <w:rPr>
          <w:rFonts w:eastAsia="Times New Roman"/>
          <w:bCs/>
          <w:lang w:eastAsia="sr-Latn-RS"/>
        </w:rPr>
        <w:t xml:space="preserve"> </w:t>
      </w:r>
      <w:r w:rsidR="00DA69CA" w:rsidRPr="00FD32EC">
        <w:rPr>
          <w:rFonts w:eastAsia="Times New Roman"/>
          <w:bCs/>
          <w:lang w:val="sr-Cyrl-RS" w:eastAsia="sr-Latn-RS"/>
        </w:rPr>
        <w:t>годишње.</w:t>
      </w:r>
    </w:p>
    <w:p w14:paraId="2560BBF2" w14:textId="4288AEC3" w:rsidR="001E048C" w:rsidRPr="00FD32EC" w:rsidRDefault="001E048C" w:rsidP="0054763C">
      <w:pPr>
        <w:tabs>
          <w:tab w:val="left" w:pos="1305"/>
        </w:tabs>
        <w:spacing w:after="120"/>
        <w:jc w:val="both"/>
        <w:rPr>
          <w:rFonts w:eastAsia="Times New Roman"/>
          <w:b/>
          <w:bCs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Доза од спољашњег излагања зрачењу из испитиваног грађевинског материјала се израчунава на основу резултата мерења садржаја радионуклида и других параметара како је описано у </w:t>
      </w:r>
      <w:r w:rsidR="00452919" w:rsidRPr="00FD32EC">
        <w:rPr>
          <w:rFonts w:eastAsia="Times New Roman"/>
          <w:lang w:val="sr-Cyrl-RS" w:eastAsia="sr-Latn-RS"/>
        </w:rPr>
        <w:t>П</w:t>
      </w:r>
      <w:r w:rsidRPr="00FD32EC">
        <w:rPr>
          <w:rFonts w:eastAsia="Times New Roman"/>
          <w:lang w:val="sr-Cyrl-RS" w:eastAsia="sr-Latn-RS"/>
        </w:rPr>
        <w:t xml:space="preserve">рилогу </w:t>
      </w:r>
      <w:r w:rsidR="00452919" w:rsidRPr="00FD32EC">
        <w:rPr>
          <w:rFonts w:eastAsia="Times New Roman"/>
          <w:lang w:val="sr-Cyrl-RS" w:eastAsia="sr-Latn-RS"/>
        </w:rPr>
        <w:t>2</w:t>
      </w:r>
      <w:r w:rsidRPr="00FD32EC">
        <w:rPr>
          <w:rFonts w:eastAsia="Times New Roman"/>
          <w:lang w:val="sr-Cyrl-RS" w:eastAsia="sr-Latn-RS"/>
        </w:rPr>
        <w:t>.</w:t>
      </w:r>
    </w:p>
    <w:p w14:paraId="7F18E8C1" w14:textId="62B2139F" w:rsidR="00DA69CA" w:rsidRPr="00FD32EC" w:rsidRDefault="00DA69CA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За грађевинске материјале </w:t>
      </w:r>
      <w:r w:rsidR="00C70D52" w:rsidRPr="00FD32EC">
        <w:rPr>
          <w:rFonts w:eastAsia="Times New Roman"/>
          <w:bCs/>
          <w:lang w:val="sr-Cyrl-RS" w:eastAsia="sr-Latn-RS"/>
        </w:rPr>
        <w:t xml:space="preserve">које је </w:t>
      </w:r>
      <w:r w:rsidR="00F66613" w:rsidRPr="00FD32EC">
        <w:rPr>
          <w:rFonts w:eastAsia="Times New Roman"/>
          <w:bCs/>
          <w:lang w:val="sr-Cyrl-RS" w:eastAsia="sr-Latn-RS"/>
        </w:rPr>
        <w:t>Директорат</w:t>
      </w:r>
      <w:r w:rsidR="00C70D52" w:rsidRPr="00FD32EC">
        <w:rPr>
          <w:rFonts w:eastAsia="Times New Roman"/>
          <w:bCs/>
          <w:lang w:val="sr-Cyrl-RS" w:eastAsia="sr-Latn-RS"/>
        </w:rPr>
        <w:t xml:space="preserve"> идентификова</w:t>
      </w:r>
      <w:r w:rsidR="00F66613" w:rsidRPr="00FD32EC">
        <w:rPr>
          <w:rFonts w:eastAsia="Times New Roman"/>
          <w:bCs/>
          <w:lang w:val="sr-Cyrl-RS" w:eastAsia="sr-Latn-RS"/>
        </w:rPr>
        <w:t>о</w:t>
      </w:r>
      <w:r w:rsidR="00C70D52" w:rsidRPr="00FD32EC">
        <w:rPr>
          <w:rFonts w:eastAsia="Times New Roman"/>
          <w:bCs/>
          <w:lang w:val="sr-Cyrl-RS" w:eastAsia="sr-Latn-RS"/>
        </w:rPr>
        <w:t xml:space="preserve"> као </w:t>
      </w:r>
      <w:r w:rsidRPr="00FD32EC">
        <w:rPr>
          <w:rFonts w:eastAsia="Times New Roman"/>
          <w:bCs/>
          <w:lang w:val="sr-Cyrl-RS" w:eastAsia="sr-Latn-RS"/>
        </w:rPr>
        <w:t>значајне са становишта заштите од зрачења</w:t>
      </w:r>
      <w:r w:rsidR="00FF1FE9" w:rsidRPr="00FD32EC">
        <w:rPr>
          <w:rFonts w:eastAsia="Times New Roman"/>
          <w:bCs/>
          <w:lang w:eastAsia="sr-Latn-RS"/>
        </w:rPr>
        <w:t>,</w:t>
      </w:r>
      <w:r w:rsidRPr="00FD32EC">
        <w:rPr>
          <w:rFonts w:eastAsia="Times New Roman"/>
          <w:bCs/>
          <w:lang w:val="sr-Cyrl-RS" w:eastAsia="sr-Latn-RS"/>
        </w:rPr>
        <w:t xml:space="preserve"> </w:t>
      </w:r>
      <w:r w:rsidR="00A949E6" w:rsidRPr="00FD32EC">
        <w:rPr>
          <w:rFonts w:eastAsia="Times New Roman"/>
          <w:bCs/>
          <w:lang w:val="sr-Cyrl-RS" w:eastAsia="sr-Latn-RS"/>
        </w:rPr>
        <w:t xml:space="preserve">наведене у </w:t>
      </w:r>
      <w:r w:rsidR="00452919" w:rsidRPr="00FD32EC">
        <w:rPr>
          <w:rFonts w:eastAsia="Times New Roman"/>
          <w:lang w:val="sr-Cyrl-RS" w:eastAsia="sr-Latn-RS"/>
        </w:rPr>
        <w:t>Прилогу 2</w:t>
      </w:r>
      <w:r w:rsidR="00B63935" w:rsidRPr="00FD32EC">
        <w:rPr>
          <w:rFonts w:eastAsia="Times New Roman"/>
          <w:bCs/>
          <w:lang w:val="sr-Cyrl-RS" w:eastAsia="sr-Latn-RS"/>
        </w:rPr>
        <w:t xml:space="preserve">, </w:t>
      </w:r>
      <w:r w:rsidR="00F66613" w:rsidRPr="00FD32EC">
        <w:rPr>
          <w:rFonts w:eastAsia="Times New Roman"/>
          <w:bCs/>
          <w:lang w:val="sr-Cyrl-RS" w:eastAsia="sr-Latn-RS"/>
        </w:rPr>
        <w:t xml:space="preserve">правно лице или предузетник је у обавези да, </w:t>
      </w:r>
      <w:r w:rsidR="00B63935" w:rsidRPr="00FD32EC">
        <w:rPr>
          <w:rFonts w:eastAsia="Times New Roman"/>
          <w:bCs/>
          <w:lang w:val="sr-Cyrl-RS" w:eastAsia="sr-Latn-RS"/>
        </w:rPr>
        <w:t>пре стављања у промет</w:t>
      </w:r>
      <w:r w:rsidR="005D418C" w:rsidRPr="00FD32EC">
        <w:rPr>
          <w:rFonts w:eastAsia="Times New Roman"/>
          <w:bCs/>
          <w:lang w:val="sr-Cyrl-RS" w:eastAsia="sr-Latn-RS"/>
        </w:rPr>
        <w:t>:</w:t>
      </w:r>
    </w:p>
    <w:p w14:paraId="79A63BA8" w14:textId="0CEB3EE3" w:rsidR="005D418C" w:rsidRPr="00FD32EC" w:rsidRDefault="005D418C" w:rsidP="0054763C">
      <w:pPr>
        <w:spacing w:after="120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а) </w:t>
      </w:r>
      <w:r w:rsidR="00F66613" w:rsidRPr="00FD32EC">
        <w:rPr>
          <w:rFonts w:eastAsia="Times New Roman"/>
          <w:bCs/>
          <w:lang w:val="sr-Cyrl-RS" w:eastAsia="sr-Latn-RS"/>
        </w:rPr>
        <w:t xml:space="preserve">обезбеди одређивање </w:t>
      </w:r>
      <w:r w:rsidRPr="00FD32EC">
        <w:rPr>
          <w:rFonts w:eastAsia="Times New Roman"/>
          <w:bCs/>
          <w:lang w:val="sr-Cyrl-RS" w:eastAsia="sr-Latn-RS"/>
        </w:rPr>
        <w:t>садржај</w:t>
      </w:r>
      <w:r w:rsidR="00F66613" w:rsidRPr="00FD32EC">
        <w:rPr>
          <w:rFonts w:eastAsia="Times New Roman"/>
          <w:bCs/>
          <w:lang w:val="sr-Cyrl-RS" w:eastAsia="sr-Latn-RS"/>
        </w:rPr>
        <w:t>а</w:t>
      </w:r>
      <w:r w:rsidRPr="00FD32EC">
        <w:rPr>
          <w:rFonts w:eastAsia="Times New Roman"/>
          <w:bCs/>
          <w:lang w:val="sr-Cyrl-RS" w:eastAsia="sr-Latn-RS"/>
        </w:rPr>
        <w:t xml:space="preserve"> радионуклида из </w:t>
      </w:r>
      <w:r w:rsidR="00452919" w:rsidRPr="00FD32EC">
        <w:rPr>
          <w:rFonts w:eastAsia="Times New Roman"/>
          <w:lang w:val="sr-Cyrl-RS" w:eastAsia="sr-Latn-RS"/>
        </w:rPr>
        <w:t>Прилога 2</w:t>
      </w:r>
      <w:r w:rsidR="00C70D52" w:rsidRPr="00FD32EC">
        <w:rPr>
          <w:rFonts w:eastAsia="Times New Roman"/>
          <w:bCs/>
          <w:lang w:val="sr-Cyrl-RS" w:eastAsia="sr-Latn-RS"/>
        </w:rPr>
        <w:t xml:space="preserve"> и,</w:t>
      </w:r>
    </w:p>
    <w:p w14:paraId="794B8C7F" w14:textId="7CAFB7D8" w:rsidR="0008102D" w:rsidRPr="00FD32EC" w:rsidRDefault="005D418C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б)</w:t>
      </w:r>
      <w:r w:rsidR="00EC53F4" w:rsidRPr="00FD32EC">
        <w:rPr>
          <w:rFonts w:eastAsia="Times New Roman"/>
          <w:bCs/>
          <w:lang w:val="sr-Cyrl-RS" w:eastAsia="sr-Latn-RS"/>
        </w:rPr>
        <w:t xml:space="preserve"> </w:t>
      </w:r>
      <w:proofErr w:type="spellStart"/>
      <w:r w:rsidR="00F66613" w:rsidRPr="00FD32EC">
        <w:rPr>
          <w:rFonts w:eastAsia="Times New Roman"/>
          <w:bCs/>
          <w:lang w:val="sr-Cyrl-RS" w:eastAsia="sr-Latn-RS"/>
        </w:rPr>
        <w:t>Директорату</w:t>
      </w:r>
      <w:proofErr w:type="spellEnd"/>
      <w:r w:rsidR="00F66613" w:rsidRPr="00FD32EC">
        <w:rPr>
          <w:rFonts w:eastAsia="Times New Roman"/>
          <w:bCs/>
          <w:lang w:val="sr-Cyrl-RS" w:eastAsia="sr-Latn-RS"/>
        </w:rPr>
        <w:t xml:space="preserve"> </w:t>
      </w:r>
      <w:r w:rsidR="00C97DCF" w:rsidRPr="00FD32EC">
        <w:rPr>
          <w:rFonts w:eastAsia="Times New Roman"/>
          <w:bCs/>
          <w:lang w:val="sr-Cyrl-RS" w:eastAsia="sr-Latn-RS"/>
        </w:rPr>
        <w:t>достав</w:t>
      </w:r>
      <w:r w:rsidR="00F66613" w:rsidRPr="00FD32EC">
        <w:rPr>
          <w:rFonts w:eastAsia="Times New Roman"/>
          <w:bCs/>
          <w:lang w:val="sr-Cyrl-RS" w:eastAsia="sr-Latn-RS"/>
        </w:rPr>
        <w:t>и</w:t>
      </w:r>
      <w:r w:rsidR="00C97DCF" w:rsidRPr="00FD32EC">
        <w:rPr>
          <w:rFonts w:eastAsia="Times New Roman"/>
          <w:bCs/>
          <w:lang w:val="sr-Cyrl-RS"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>резултат</w:t>
      </w:r>
      <w:r w:rsidR="00F66613" w:rsidRPr="00FD32EC">
        <w:rPr>
          <w:rFonts w:eastAsia="Times New Roman"/>
          <w:bCs/>
          <w:lang w:val="sr-Cyrl-RS" w:eastAsia="sr-Latn-RS"/>
        </w:rPr>
        <w:t>е</w:t>
      </w:r>
      <w:r w:rsidRPr="00FD32EC">
        <w:rPr>
          <w:rFonts w:eastAsia="Times New Roman"/>
          <w:bCs/>
          <w:lang w:val="sr-Cyrl-RS" w:eastAsia="sr-Latn-RS"/>
        </w:rPr>
        <w:t xml:space="preserve"> мерења и </w:t>
      </w:r>
      <w:r w:rsidR="0008102D" w:rsidRPr="00FD32EC">
        <w:rPr>
          <w:rFonts w:eastAsia="Times New Roman"/>
          <w:bCs/>
          <w:lang w:val="sr-Cyrl-RS" w:eastAsia="sr-Latn-RS"/>
        </w:rPr>
        <w:t>одговарајућ</w:t>
      </w:r>
      <w:r w:rsidR="00F66613" w:rsidRPr="00FD32EC">
        <w:rPr>
          <w:rFonts w:eastAsia="Times New Roman"/>
          <w:bCs/>
          <w:lang w:val="sr-Cyrl-RS" w:eastAsia="sr-Latn-RS"/>
        </w:rPr>
        <w:t>е</w:t>
      </w:r>
      <w:r w:rsidR="0008102D" w:rsidRPr="00FD32EC">
        <w:rPr>
          <w:rFonts w:eastAsia="Times New Roman"/>
          <w:bCs/>
          <w:lang w:val="sr-Cyrl-RS" w:eastAsia="sr-Latn-RS"/>
        </w:rPr>
        <w:t xml:space="preserve"> </w:t>
      </w:r>
      <w:r w:rsidR="000C0E5E" w:rsidRPr="00FD32EC">
        <w:rPr>
          <w:rFonts w:eastAsia="Times New Roman"/>
          <w:bCs/>
          <w:lang w:val="sr-Cyrl-RS" w:eastAsia="sr-Latn-RS"/>
        </w:rPr>
        <w:t>гама индекс</w:t>
      </w:r>
      <w:r w:rsidR="00F66613" w:rsidRPr="00FD32EC">
        <w:rPr>
          <w:rFonts w:eastAsia="Times New Roman"/>
          <w:bCs/>
          <w:lang w:val="sr-Cyrl-RS" w:eastAsia="sr-Latn-RS"/>
        </w:rPr>
        <w:t>е</w:t>
      </w:r>
      <w:r w:rsidR="003F5A4A" w:rsidRPr="00FD32EC">
        <w:rPr>
          <w:rFonts w:eastAsia="Times New Roman"/>
          <w:bCs/>
          <w:lang w:val="sr-Cyrl-RS" w:eastAsia="sr-Latn-RS"/>
        </w:rPr>
        <w:t>, као и</w:t>
      </w:r>
      <w:r w:rsidR="000C0E5E" w:rsidRPr="00FD32EC">
        <w:rPr>
          <w:rFonts w:eastAsia="Times New Roman"/>
          <w:bCs/>
          <w:lang w:val="sr-Cyrl-RS" w:eastAsia="sr-Latn-RS"/>
        </w:rPr>
        <w:t xml:space="preserve"> друг</w:t>
      </w:r>
      <w:r w:rsidR="00F66613" w:rsidRPr="00FD32EC">
        <w:rPr>
          <w:rFonts w:eastAsia="Times New Roman"/>
          <w:bCs/>
          <w:lang w:val="sr-Cyrl-RS" w:eastAsia="sr-Latn-RS"/>
        </w:rPr>
        <w:t>е</w:t>
      </w:r>
      <w:r w:rsidR="000C0E5E" w:rsidRPr="00FD32EC">
        <w:rPr>
          <w:rFonts w:eastAsia="Times New Roman"/>
          <w:bCs/>
          <w:lang w:val="sr-Cyrl-RS" w:eastAsia="sr-Latn-RS"/>
        </w:rPr>
        <w:t xml:space="preserve"> релевантн</w:t>
      </w:r>
      <w:r w:rsidR="00F66613" w:rsidRPr="00FD32EC">
        <w:rPr>
          <w:rFonts w:eastAsia="Times New Roman"/>
          <w:bCs/>
          <w:lang w:val="sr-Cyrl-RS" w:eastAsia="sr-Latn-RS"/>
        </w:rPr>
        <w:t>е</w:t>
      </w:r>
      <w:r w:rsidR="00EC53F4" w:rsidRPr="00FD32EC">
        <w:rPr>
          <w:rFonts w:eastAsia="Times New Roman"/>
          <w:bCs/>
          <w:lang w:val="sr-Cyrl-RS" w:eastAsia="sr-Latn-RS"/>
        </w:rPr>
        <w:t xml:space="preserve"> </w:t>
      </w:r>
      <w:r w:rsidR="00C97DCF" w:rsidRPr="00FD32EC">
        <w:rPr>
          <w:rFonts w:eastAsia="Times New Roman"/>
          <w:bCs/>
          <w:lang w:val="sr-Cyrl-RS" w:eastAsia="sr-Latn-RS"/>
        </w:rPr>
        <w:t>пода</w:t>
      </w:r>
      <w:r w:rsidR="00F66613" w:rsidRPr="00FD32EC">
        <w:rPr>
          <w:rFonts w:eastAsia="Times New Roman"/>
          <w:bCs/>
          <w:lang w:val="sr-Cyrl-RS" w:eastAsia="sr-Latn-RS"/>
        </w:rPr>
        <w:t>тке</w:t>
      </w:r>
      <w:r w:rsidR="000C0E5E" w:rsidRPr="00FD32EC">
        <w:rPr>
          <w:rFonts w:eastAsia="Times New Roman"/>
          <w:bCs/>
          <w:lang w:val="sr-Cyrl-RS" w:eastAsia="sr-Latn-RS"/>
        </w:rPr>
        <w:t xml:space="preserve">, </w:t>
      </w:r>
      <w:r w:rsidR="00C25670" w:rsidRPr="00FD32EC">
        <w:rPr>
          <w:rFonts w:eastAsia="Times New Roman"/>
          <w:bCs/>
          <w:lang w:val="sr-Cyrl-RS" w:eastAsia="sr-Latn-RS"/>
        </w:rPr>
        <w:t>у складу са упутством</w:t>
      </w:r>
      <w:r w:rsidR="000C0E5E" w:rsidRPr="00FD32EC">
        <w:rPr>
          <w:rFonts w:eastAsia="Times New Roman"/>
          <w:bCs/>
          <w:lang w:val="sr-Cyrl-RS" w:eastAsia="sr-Latn-RS"/>
        </w:rPr>
        <w:t xml:space="preserve"> </w:t>
      </w:r>
      <w:r w:rsidR="00C25670" w:rsidRPr="00FD32EC">
        <w:rPr>
          <w:rFonts w:eastAsia="Times New Roman"/>
          <w:bCs/>
          <w:lang w:val="sr-Cyrl-RS" w:eastAsia="sr-Latn-RS"/>
        </w:rPr>
        <w:t>из</w:t>
      </w:r>
      <w:r w:rsidR="000C0E5E" w:rsidRPr="00FD32EC">
        <w:rPr>
          <w:rFonts w:eastAsia="Times New Roman"/>
          <w:bCs/>
          <w:lang w:val="sr-Cyrl-RS" w:eastAsia="sr-Latn-RS"/>
        </w:rPr>
        <w:t xml:space="preserve"> </w:t>
      </w:r>
      <w:r w:rsidR="00452919" w:rsidRPr="00FD32EC">
        <w:rPr>
          <w:rFonts w:eastAsia="Times New Roman"/>
          <w:bCs/>
          <w:lang w:val="sr-Cyrl-RS" w:eastAsia="sr-Latn-RS"/>
        </w:rPr>
        <w:t>П</w:t>
      </w:r>
      <w:r w:rsidR="000C0E5E" w:rsidRPr="00FD32EC">
        <w:rPr>
          <w:rFonts w:eastAsia="Times New Roman"/>
          <w:bCs/>
          <w:lang w:val="sr-Cyrl-RS" w:eastAsia="sr-Latn-RS"/>
        </w:rPr>
        <w:t>рилог</w:t>
      </w:r>
      <w:r w:rsidR="00C25670" w:rsidRPr="00FD32EC">
        <w:rPr>
          <w:rFonts w:eastAsia="Times New Roman"/>
          <w:bCs/>
          <w:lang w:val="sr-Cyrl-RS" w:eastAsia="sr-Latn-RS"/>
        </w:rPr>
        <w:t>а</w:t>
      </w:r>
      <w:r w:rsidR="000C0E5E" w:rsidRPr="00FD32EC">
        <w:rPr>
          <w:rFonts w:eastAsia="Times New Roman"/>
          <w:bCs/>
          <w:lang w:eastAsia="sr-Latn-RS"/>
        </w:rPr>
        <w:t xml:space="preserve"> </w:t>
      </w:r>
      <w:r w:rsidR="00452919" w:rsidRPr="00FD32EC">
        <w:rPr>
          <w:rFonts w:eastAsia="Times New Roman"/>
          <w:bCs/>
          <w:lang w:val="sr-Cyrl-RS" w:eastAsia="sr-Latn-RS"/>
        </w:rPr>
        <w:t>2</w:t>
      </w:r>
      <w:r w:rsidR="00DD08C2" w:rsidRPr="00FD32EC">
        <w:rPr>
          <w:rFonts w:eastAsia="Times New Roman"/>
          <w:bCs/>
          <w:lang w:val="sr-Cyrl-RS" w:eastAsia="sr-Latn-RS"/>
        </w:rPr>
        <w:t>.</w:t>
      </w:r>
      <w:r w:rsidR="000C0E5E" w:rsidRPr="00FD32EC">
        <w:rPr>
          <w:rFonts w:eastAsia="Times New Roman"/>
          <w:bCs/>
          <w:lang w:val="sr-Cyrl-RS" w:eastAsia="sr-Latn-RS"/>
        </w:rPr>
        <w:t xml:space="preserve"> </w:t>
      </w:r>
    </w:p>
    <w:p w14:paraId="26E41964" w14:textId="21D32E04" w:rsidR="005B7218" w:rsidRPr="00FD32EC" w:rsidRDefault="000C0E5E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 xml:space="preserve">За грађевинске материјале </w:t>
      </w:r>
      <w:r w:rsidR="00A949E6" w:rsidRPr="00FD32EC">
        <w:rPr>
          <w:rFonts w:eastAsia="Times New Roman"/>
          <w:bCs/>
          <w:lang w:val="sr-Cyrl-RS" w:eastAsia="sr-Latn-RS"/>
        </w:rPr>
        <w:t xml:space="preserve">наведене у </w:t>
      </w:r>
      <w:r w:rsidR="00452919" w:rsidRPr="00FD32EC">
        <w:rPr>
          <w:rFonts w:eastAsia="Times New Roman"/>
          <w:bCs/>
          <w:lang w:val="sr-Cyrl-RS" w:eastAsia="sr-Latn-RS"/>
        </w:rPr>
        <w:t>П</w:t>
      </w:r>
      <w:r w:rsidR="00A949E6" w:rsidRPr="00FD32EC">
        <w:rPr>
          <w:rFonts w:eastAsia="Times New Roman"/>
          <w:bCs/>
          <w:lang w:val="sr-Cyrl-RS" w:eastAsia="sr-Latn-RS"/>
        </w:rPr>
        <w:t xml:space="preserve">рилогу </w:t>
      </w:r>
      <w:r w:rsidR="00452919" w:rsidRPr="00FD32EC">
        <w:rPr>
          <w:rFonts w:eastAsia="Times New Roman"/>
          <w:bCs/>
          <w:lang w:val="sr-Cyrl-RS" w:eastAsia="sr-Latn-RS"/>
        </w:rPr>
        <w:t>2</w:t>
      </w:r>
      <w:r w:rsidRPr="00FD32EC">
        <w:rPr>
          <w:rFonts w:eastAsia="Times New Roman"/>
          <w:bCs/>
          <w:lang w:val="sr-Cyrl-RS" w:eastAsia="sr-Latn-RS"/>
        </w:rPr>
        <w:t>,</w:t>
      </w:r>
      <w:r w:rsidR="00A949E6" w:rsidRPr="00FD32EC">
        <w:rPr>
          <w:rFonts w:eastAsia="Times New Roman"/>
          <w:bCs/>
          <w:lang w:val="sr-Cyrl-RS" w:eastAsia="sr-Latn-RS"/>
        </w:rPr>
        <w:t xml:space="preserve"> за које се одређивањем садржаја радионуклида утврди да</w:t>
      </w:r>
      <w:r w:rsidR="00184542" w:rsidRPr="00FD32EC">
        <w:rPr>
          <w:rFonts w:eastAsia="Times New Roman"/>
          <w:bCs/>
          <w:lang w:eastAsia="sr-Latn-RS"/>
        </w:rPr>
        <w:t xml:space="preserve"> </w:t>
      </w:r>
      <w:r w:rsidRPr="00FD32EC">
        <w:rPr>
          <w:rFonts w:eastAsia="Times New Roman"/>
          <w:bCs/>
          <w:lang w:val="sr-Cyrl-RS" w:eastAsia="sr-Latn-RS"/>
        </w:rPr>
        <w:t>могу да допринесу прекорачењу референтног нивоа</w:t>
      </w:r>
      <w:r w:rsidR="00D42FCF" w:rsidRPr="00FD32EC">
        <w:rPr>
          <w:rFonts w:eastAsia="Times New Roman"/>
          <w:bCs/>
          <w:lang w:val="sr-Cyrl-RS" w:eastAsia="sr-Latn-RS"/>
        </w:rPr>
        <w:t xml:space="preserve">, могу се применити одговарајуће мере укључујући </w:t>
      </w:r>
      <w:r w:rsidR="00A949E6" w:rsidRPr="00FD32EC">
        <w:rPr>
          <w:rFonts w:eastAsia="Times New Roman"/>
          <w:bCs/>
          <w:lang w:val="sr-Cyrl-RS" w:eastAsia="sr-Latn-RS"/>
        </w:rPr>
        <w:t xml:space="preserve">ограничења у намени и количини материјала који може да се употреби за </w:t>
      </w:r>
      <w:proofErr w:type="spellStart"/>
      <w:r w:rsidR="00A949E6" w:rsidRPr="00FD32EC">
        <w:rPr>
          <w:rFonts w:eastAsia="Times New Roman"/>
          <w:bCs/>
          <w:lang w:val="sr-Cyrl-RS" w:eastAsia="sr-Latn-RS"/>
        </w:rPr>
        <w:t>предвиђену</w:t>
      </w:r>
      <w:proofErr w:type="spellEnd"/>
      <w:r w:rsidR="00A949E6" w:rsidRPr="00FD32EC">
        <w:rPr>
          <w:rFonts w:eastAsia="Times New Roman"/>
          <w:bCs/>
          <w:lang w:val="sr-Cyrl-RS" w:eastAsia="sr-Latn-RS"/>
        </w:rPr>
        <w:t xml:space="preserve"> намену</w:t>
      </w:r>
      <w:r w:rsidR="00D42FCF" w:rsidRPr="00FD32EC">
        <w:rPr>
          <w:rFonts w:eastAsia="Times New Roman"/>
          <w:bCs/>
          <w:lang w:val="sr-Cyrl-RS" w:eastAsia="sr-Latn-RS"/>
        </w:rPr>
        <w:t>.</w:t>
      </w:r>
      <w:r w:rsidR="004463FD" w:rsidRPr="00FD32EC">
        <w:rPr>
          <w:rFonts w:eastAsia="Times New Roman"/>
          <w:bCs/>
          <w:lang w:val="sr-Cyrl-RS" w:eastAsia="sr-Latn-RS"/>
        </w:rPr>
        <w:t xml:space="preserve"> </w:t>
      </w:r>
    </w:p>
    <w:p w14:paraId="6259D6B3" w14:textId="5FB0D454" w:rsidR="000C0E5E" w:rsidRPr="00FD32EC" w:rsidRDefault="005231BD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Мере за ограничење употребе грађевинског материјала</w:t>
      </w:r>
      <w:r w:rsidR="007C4976" w:rsidRPr="00FD32EC">
        <w:rPr>
          <w:rFonts w:eastAsia="Times New Roman"/>
          <w:bCs/>
          <w:lang w:eastAsia="sr-Latn-RS"/>
        </w:rPr>
        <w:t xml:space="preserve">, </w:t>
      </w:r>
      <w:r w:rsidR="007C4976" w:rsidRPr="00FD32EC">
        <w:rPr>
          <w:rFonts w:eastAsia="Times New Roman"/>
          <w:bCs/>
          <w:lang w:val="sr-Cyrl-RS" w:eastAsia="sr-Latn-RS"/>
        </w:rPr>
        <w:t xml:space="preserve">прописује </w:t>
      </w:r>
      <w:r w:rsidR="00F66613" w:rsidRPr="00FD32EC">
        <w:rPr>
          <w:rFonts w:eastAsia="Times New Roman"/>
          <w:bCs/>
          <w:lang w:val="sr-Cyrl-RS" w:eastAsia="sr-Latn-RS"/>
        </w:rPr>
        <w:t>Директорат</w:t>
      </w:r>
      <w:r w:rsidR="00184542" w:rsidRPr="00FD32EC">
        <w:rPr>
          <w:rFonts w:eastAsia="Times New Roman"/>
          <w:bCs/>
          <w:lang w:val="sr-Cyrl-RS" w:eastAsia="sr-Latn-RS"/>
        </w:rPr>
        <w:t xml:space="preserve">, како је прописано у </w:t>
      </w:r>
      <w:r w:rsidR="00452919" w:rsidRPr="00FD32EC">
        <w:rPr>
          <w:rFonts w:eastAsia="Times New Roman"/>
          <w:bCs/>
          <w:lang w:val="sr-Cyrl-RS" w:eastAsia="sr-Latn-RS"/>
        </w:rPr>
        <w:t>П</w:t>
      </w:r>
      <w:r w:rsidR="00184542" w:rsidRPr="00FD32EC">
        <w:rPr>
          <w:rFonts w:eastAsia="Times New Roman"/>
          <w:bCs/>
          <w:lang w:val="sr-Cyrl-RS" w:eastAsia="sr-Latn-RS"/>
        </w:rPr>
        <w:t xml:space="preserve">рилогу </w:t>
      </w:r>
      <w:r w:rsidR="00452919" w:rsidRPr="00FD32EC">
        <w:rPr>
          <w:rFonts w:eastAsia="Times New Roman"/>
          <w:bCs/>
          <w:lang w:val="sr-Cyrl-RS" w:eastAsia="sr-Latn-RS"/>
        </w:rPr>
        <w:t>2</w:t>
      </w:r>
      <w:r w:rsidR="007A35A4" w:rsidRPr="00FD32EC">
        <w:rPr>
          <w:rFonts w:eastAsia="Times New Roman"/>
          <w:bCs/>
          <w:lang w:val="sr-Cyrl-RS" w:eastAsia="sr-Latn-RS"/>
        </w:rPr>
        <w:t>.</w:t>
      </w:r>
    </w:p>
    <w:p w14:paraId="646417A1" w14:textId="77777777" w:rsidR="00A02826" w:rsidRPr="00FD32EC" w:rsidRDefault="00A02826" w:rsidP="0054763C">
      <w:pPr>
        <w:spacing w:after="120"/>
        <w:jc w:val="center"/>
        <w:rPr>
          <w:rFonts w:eastAsia="Times New Roman"/>
          <w:b/>
          <w:bCs/>
          <w:lang w:val="sr-Cyrl-RS" w:eastAsia="sr-Latn-RS"/>
        </w:rPr>
      </w:pPr>
      <w:bookmarkStart w:id="12" w:name="clan_14"/>
      <w:bookmarkStart w:id="13" w:name="clan_17"/>
      <w:bookmarkEnd w:id="12"/>
      <w:bookmarkEnd w:id="13"/>
    </w:p>
    <w:p w14:paraId="45F78BBD" w14:textId="77777777" w:rsidR="0054763C" w:rsidRPr="00FD32EC" w:rsidRDefault="00351040" w:rsidP="0054763C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Контрола садржаја радионуклида у ситуацији ванредног излагања</w:t>
      </w:r>
    </w:p>
    <w:p w14:paraId="465383F2" w14:textId="1C77D207" w:rsidR="002A33E2" w:rsidRPr="00FD32EC" w:rsidRDefault="002A33E2" w:rsidP="0054763C">
      <w:pPr>
        <w:spacing w:after="120"/>
        <w:jc w:val="center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1D3803" w:rsidRPr="00FD32EC">
        <w:rPr>
          <w:rFonts w:eastAsia="Times New Roman"/>
          <w:lang w:val="sr-Cyrl-RS"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6</w:t>
      </w:r>
      <w:r w:rsidR="0094076C" w:rsidRPr="00FD32EC">
        <w:rPr>
          <w:rFonts w:eastAsia="Times New Roman"/>
          <w:lang w:val="sr-Cyrl-RS" w:eastAsia="sr-Latn-RS"/>
        </w:rPr>
        <w:t>.</w:t>
      </w:r>
    </w:p>
    <w:p w14:paraId="0CF9AB8A" w14:textId="4E0A598E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t xml:space="preserve">У </w:t>
      </w:r>
      <w:proofErr w:type="spellStart"/>
      <w:r w:rsidRPr="00FD32EC">
        <w:rPr>
          <w:rFonts w:eastAsia="Times New Roman"/>
          <w:lang w:eastAsia="sr-Latn-RS"/>
        </w:rPr>
        <w:t>случају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992926" w:rsidRPr="00FD32EC">
        <w:rPr>
          <w:rFonts w:eastAsia="Times New Roman"/>
          <w:lang w:val="sr-Cyrl-RS" w:eastAsia="sr-Latn-RS"/>
        </w:rPr>
        <w:t>Директорат</w:t>
      </w:r>
      <w:r w:rsidR="00992926"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располаже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званичним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информацијама</w:t>
      </w:r>
      <w:proofErr w:type="spellEnd"/>
      <w:r w:rsidRPr="00FD32EC">
        <w:rPr>
          <w:rFonts w:eastAsia="Times New Roman"/>
          <w:lang w:eastAsia="sr-Latn-RS"/>
        </w:rPr>
        <w:t xml:space="preserve"> о </w:t>
      </w:r>
      <w:r w:rsidR="00A02826" w:rsidRPr="00FD32EC">
        <w:rPr>
          <w:rFonts w:eastAsia="Times New Roman"/>
          <w:lang w:val="sr-Cyrl-RS" w:eastAsia="sr-Latn-RS"/>
        </w:rPr>
        <w:t xml:space="preserve">нуклеарним </w:t>
      </w:r>
      <w:proofErr w:type="spellStart"/>
      <w:r w:rsidRPr="00FD32EC">
        <w:rPr>
          <w:rFonts w:eastAsia="Times New Roman"/>
          <w:lang w:eastAsia="sr-Latn-RS"/>
        </w:rPr>
        <w:t>или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="002D79D1" w:rsidRPr="00FD32EC">
        <w:rPr>
          <w:rFonts w:eastAsia="Times New Roman"/>
          <w:lang w:val="sr-Cyrl-RS" w:eastAsia="sr-Latn-RS"/>
        </w:rPr>
        <w:t>радиолошким</w:t>
      </w:r>
      <w:proofErr w:type="spellEnd"/>
      <w:r w:rsidR="002D79D1" w:rsidRPr="00FD32EC">
        <w:rPr>
          <w:rFonts w:eastAsia="Times New Roman"/>
          <w:lang w:val="sr-Cyrl-RS"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ванредним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догађајима</w:t>
      </w:r>
      <w:proofErr w:type="spellEnd"/>
      <w:r w:rsidR="00925817" w:rsidRPr="00FD32EC">
        <w:rPr>
          <w:rFonts w:eastAsia="Times New Roman"/>
          <w:lang w:val="sr-Cyrl-RS" w:eastAsia="sr-Latn-RS"/>
        </w:rPr>
        <w:t xml:space="preserve"> са емисијом радиоактивних материја у животну средину</w:t>
      </w:r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које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указују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могућност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контаминације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992926" w:rsidRPr="00FD32EC">
        <w:rPr>
          <w:rFonts w:eastAsia="Times New Roman"/>
          <w:lang w:val="sr-Cyrl-RS" w:eastAsia="sr-Latn-RS"/>
        </w:rPr>
        <w:t>хране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радионуклидима</w:t>
      </w:r>
      <w:proofErr w:type="spellEnd"/>
      <w:r w:rsidRPr="00FD32EC">
        <w:rPr>
          <w:rFonts w:eastAsia="Times New Roman"/>
          <w:lang w:eastAsia="sr-Latn-RS"/>
        </w:rPr>
        <w:t xml:space="preserve">, а у </w:t>
      </w:r>
      <w:proofErr w:type="spellStart"/>
      <w:r w:rsidRPr="00FD32EC">
        <w:rPr>
          <w:rFonts w:eastAsia="Times New Roman"/>
          <w:lang w:eastAsia="sr-Latn-RS"/>
        </w:rPr>
        <w:t>случају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да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околности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тако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захтевају</w:t>
      </w:r>
      <w:proofErr w:type="spellEnd"/>
      <w:r w:rsidRPr="00FD32EC">
        <w:rPr>
          <w:rFonts w:eastAsia="Times New Roman"/>
          <w:lang w:eastAsia="sr-Latn-RS"/>
        </w:rPr>
        <w:t xml:space="preserve">, </w:t>
      </w:r>
      <w:r w:rsidR="00351040" w:rsidRPr="00FD32EC">
        <w:rPr>
          <w:rFonts w:eastAsia="Times New Roman"/>
          <w:lang w:val="sr-Cyrl-RS" w:eastAsia="sr-Latn-RS"/>
        </w:rPr>
        <w:t xml:space="preserve">за контролу садржаја радионуклида у храни и храни за животиње </w:t>
      </w:r>
      <w:proofErr w:type="spellStart"/>
      <w:r w:rsidRPr="00FD32EC">
        <w:rPr>
          <w:rFonts w:eastAsia="Times New Roman"/>
          <w:lang w:eastAsia="sr-Latn-RS"/>
        </w:rPr>
        <w:t>примењују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границе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радионуклида</w:t>
      </w:r>
      <w:r w:rsidR="008F185F" w:rsidRPr="00FD32EC">
        <w:rPr>
          <w:rFonts w:eastAsia="Times New Roman"/>
          <w:lang w:val="sr-Cyrl-RS" w:eastAsia="sr-Latn-RS"/>
        </w:rPr>
        <w:t xml:space="preserve"> наведене у Прилогу</w:t>
      </w:r>
      <w:r w:rsidRPr="00FD32EC">
        <w:rPr>
          <w:rFonts w:eastAsia="Times New Roman"/>
          <w:lang w:eastAsia="sr-Latn-RS"/>
        </w:rPr>
        <w:t xml:space="preserve"> </w:t>
      </w:r>
      <w:r w:rsidR="00452919" w:rsidRPr="00FD32EC">
        <w:rPr>
          <w:rFonts w:eastAsia="Times New Roman"/>
          <w:lang w:val="sr-Cyrl-RS" w:eastAsia="sr-Latn-RS"/>
        </w:rPr>
        <w:t>3</w:t>
      </w:r>
      <w:r w:rsidR="008F185F" w:rsidRPr="00FD32EC">
        <w:rPr>
          <w:rFonts w:eastAsia="Times New Roman"/>
          <w:lang w:eastAsia="sr-Latn-RS"/>
        </w:rPr>
        <w:t xml:space="preserve"> </w:t>
      </w:r>
      <w:r w:rsidR="008F185F" w:rsidRPr="00FD32EC">
        <w:rPr>
          <w:rFonts w:eastAsia="Times New Roman"/>
          <w:lang w:val="sr-Cyrl-RS" w:eastAsia="sr-Latn-RS"/>
        </w:rPr>
        <w:t xml:space="preserve">и то </w:t>
      </w:r>
      <w:r w:rsidR="009340B2" w:rsidRPr="00FD32EC">
        <w:rPr>
          <w:rFonts w:eastAsia="Times New Roman"/>
          <w:lang w:val="sr-Cyrl-RS" w:eastAsia="sr-Latn-RS"/>
        </w:rPr>
        <w:t xml:space="preserve">за храну вредности наведене </w:t>
      </w:r>
      <w:r w:rsidR="008F185F" w:rsidRPr="00FD32EC">
        <w:rPr>
          <w:rFonts w:eastAsia="Times New Roman"/>
          <w:lang w:val="sr-Cyrl-RS" w:eastAsia="sr-Latn-RS"/>
        </w:rPr>
        <w:t xml:space="preserve">у </w:t>
      </w:r>
      <w:r w:rsidR="00452919" w:rsidRPr="00FD32EC">
        <w:rPr>
          <w:rFonts w:eastAsia="Times New Roman"/>
          <w:lang w:val="sr-Cyrl-RS" w:eastAsia="sr-Latn-RS"/>
        </w:rPr>
        <w:t>Т</w:t>
      </w:r>
      <w:r w:rsidR="008F185F" w:rsidRPr="00FD32EC">
        <w:rPr>
          <w:rFonts w:eastAsia="Times New Roman"/>
          <w:lang w:val="sr-Cyrl-RS" w:eastAsia="sr-Latn-RS"/>
        </w:rPr>
        <w:t>абели 1.  и</w:t>
      </w:r>
      <w:r w:rsidRPr="00FD32EC">
        <w:rPr>
          <w:rFonts w:eastAsia="Times New Roman"/>
          <w:lang w:eastAsia="sr-Latn-RS"/>
        </w:rPr>
        <w:t xml:space="preserve"> </w:t>
      </w:r>
      <w:r w:rsidR="009340B2" w:rsidRPr="00FD32EC">
        <w:rPr>
          <w:rFonts w:eastAsia="Times New Roman"/>
          <w:lang w:val="sr-Cyrl-RS" w:eastAsia="sr-Latn-RS"/>
        </w:rPr>
        <w:t xml:space="preserve">за храну за животиње вредности наведене </w:t>
      </w:r>
      <w:r w:rsidRPr="00FD32EC">
        <w:rPr>
          <w:rFonts w:eastAsia="Times New Roman"/>
          <w:lang w:eastAsia="sr-Latn-RS"/>
        </w:rPr>
        <w:t xml:space="preserve">у </w:t>
      </w:r>
      <w:r w:rsidR="00452919" w:rsidRPr="00FD32EC">
        <w:rPr>
          <w:rFonts w:eastAsia="Times New Roman"/>
          <w:lang w:val="sr-Cyrl-RS" w:eastAsia="sr-Latn-RS"/>
        </w:rPr>
        <w:t>Т</w:t>
      </w:r>
      <w:proofErr w:type="spellStart"/>
      <w:r w:rsidRPr="00FD32EC">
        <w:rPr>
          <w:rFonts w:eastAsia="Times New Roman"/>
          <w:lang w:eastAsia="sr-Latn-RS"/>
        </w:rPr>
        <w:t>абели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145A48" w:rsidRPr="00FD32EC">
        <w:rPr>
          <w:rFonts w:eastAsia="Times New Roman"/>
          <w:lang w:eastAsia="sr-Latn-RS"/>
        </w:rPr>
        <w:t>3</w:t>
      </w:r>
      <w:r w:rsidRPr="00FD32EC">
        <w:rPr>
          <w:rFonts w:eastAsia="Times New Roman"/>
          <w:lang w:eastAsia="sr-Latn-RS"/>
        </w:rPr>
        <w:t xml:space="preserve">. </w:t>
      </w:r>
    </w:p>
    <w:p w14:paraId="613691B1" w14:textId="7580DFEB" w:rsidR="002A33E2" w:rsidRPr="00FD32EC" w:rsidRDefault="002A33E2" w:rsidP="0054763C">
      <w:pPr>
        <w:spacing w:after="120"/>
        <w:jc w:val="both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Период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примене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граница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наведених</w:t>
      </w:r>
      <w:proofErr w:type="spellEnd"/>
      <w:r w:rsidRPr="00FD32EC">
        <w:rPr>
          <w:rFonts w:eastAsia="Times New Roman"/>
          <w:lang w:eastAsia="sr-Latn-RS"/>
        </w:rPr>
        <w:t xml:space="preserve"> у </w:t>
      </w:r>
      <w:r w:rsidR="000972E4" w:rsidRPr="00FD32EC">
        <w:rPr>
          <w:rFonts w:eastAsia="Times New Roman"/>
          <w:lang w:val="sr-Cyrl-RS" w:eastAsia="sr-Latn-RS"/>
        </w:rPr>
        <w:t xml:space="preserve">Прилогу </w:t>
      </w:r>
      <w:r w:rsidR="00452919" w:rsidRPr="00FD32EC">
        <w:rPr>
          <w:rFonts w:eastAsia="Times New Roman"/>
          <w:lang w:val="sr-Cyrl-RS" w:eastAsia="sr-Latn-RS"/>
        </w:rPr>
        <w:t>3</w:t>
      </w:r>
      <w:r w:rsidR="000972E4" w:rsidRPr="00FD32EC">
        <w:rPr>
          <w:rFonts w:eastAsia="Times New Roman"/>
          <w:lang w:eastAsia="sr-Latn-RS"/>
        </w:rPr>
        <w:t xml:space="preserve">, </w:t>
      </w:r>
      <w:r w:rsidR="00452919" w:rsidRPr="00FD32EC">
        <w:rPr>
          <w:rFonts w:eastAsia="Times New Roman"/>
          <w:lang w:val="sr-Cyrl-RS" w:eastAsia="sr-Latn-RS"/>
        </w:rPr>
        <w:t>Т</w:t>
      </w:r>
      <w:proofErr w:type="spellStart"/>
      <w:r w:rsidRPr="00FD32EC">
        <w:rPr>
          <w:rFonts w:eastAsia="Times New Roman"/>
          <w:lang w:eastAsia="sr-Latn-RS"/>
        </w:rPr>
        <w:t>абел</w:t>
      </w:r>
      <w:proofErr w:type="spellEnd"/>
      <w:r w:rsidR="000972E4" w:rsidRPr="00FD32EC">
        <w:rPr>
          <w:rFonts w:eastAsia="Times New Roman"/>
          <w:lang w:val="sr-Cyrl-RS" w:eastAsia="sr-Latn-RS"/>
        </w:rPr>
        <w:t>а</w:t>
      </w:r>
      <w:r w:rsidRPr="00FD32EC">
        <w:rPr>
          <w:rFonts w:eastAsia="Times New Roman"/>
          <w:lang w:eastAsia="sr-Latn-RS"/>
        </w:rPr>
        <w:t xml:space="preserve"> </w:t>
      </w:r>
      <w:r w:rsidR="000972E4" w:rsidRPr="00FD32EC">
        <w:rPr>
          <w:rFonts w:eastAsia="Times New Roman"/>
          <w:lang w:val="sr-Cyrl-RS" w:eastAsia="sr-Latn-RS"/>
        </w:rPr>
        <w:t>1</w:t>
      </w:r>
      <w:r w:rsidRPr="00FD32EC">
        <w:rPr>
          <w:rFonts w:eastAsia="Times New Roman"/>
          <w:lang w:eastAsia="sr-Latn-RS"/>
        </w:rPr>
        <w:t xml:space="preserve">. и </w:t>
      </w:r>
      <w:r w:rsidR="00452919" w:rsidRPr="00FD32EC">
        <w:rPr>
          <w:rFonts w:eastAsia="Times New Roman"/>
          <w:lang w:val="sr-Cyrl-RS" w:eastAsia="sr-Latn-RS"/>
        </w:rPr>
        <w:t>Т</w:t>
      </w:r>
      <w:proofErr w:type="spellStart"/>
      <w:r w:rsidRPr="00FD32EC">
        <w:rPr>
          <w:rFonts w:eastAsia="Times New Roman"/>
          <w:lang w:eastAsia="sr-Latn-RS"/>
        </w:rPr>
        <w:t>абел</w:t>
      </w:r>
      <w:proofErr w:type="spellEnd"/>
      <w:r w:rsidR="000972E4" w:rsidRPr="00FD32EC">
        <w:rPr>
          <w:rFonts w:eastAsia="Times New Roman"/>
          <w:lang w:val="sr-Cyrl-RS" w:eastAsia="sr-Latn-RS"/>
        </w:rPr>
        <w:t>а</w:t>
      </w:r>
      <w:r w:rsidRPr="00FD32EC">
        <w:rPr>
          <w:rFonts w:eastAsia="Times New Roman"/>
          <w:lang w:eastAsia="sr-Latn-RS"/>
        </w:rPr>
        <w:t xml:space="preserve"> </w:t>
      </w:r>
      <w:r w:rsidR="000972E4" w:rsidRPr="00FD32EC">
        <w:rPr>
          <w:rFonts w:eastAsia="Times New Roman"/>
          <w:lang w:val="sr-Cyrl-RS" w:eastAsia="sr-Latn-RS"/>
        </w:rPr>
        <w:t>3</w:t>
      </w:r>
      <w:r w:rsidRPr="00FD32EC">
        <w:rPr>
          <w:rFonts w:eastAsia="Times New Roman"/>
          <w:lang w:eastAsia="sr-Latn-RS"/>
        </w:rPr>
        <w:t xml:space="preserve">.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што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могуће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краћи</w:t>
      </w:r>
      <w:proofErr w:type="spellEnd"/>
      <w:r w:rsidR="00145A48" w:rsidRPr="00FD32EC">
        <w:rPr>
          <w:rFonts w:eastAsia="Times New Roman"/>
          <w:lang w:eastAsia="sr-Latn-RS"/>
        </w:rPr>
        <w:t>,</w:t>
      </w:r>
      <w:r w:rsidRPr="00FD32EC">
        <w:rPr>
          <w:rFonts w:eastAsia="Times New Roman"/>
          <w:lang w:eastAsia="sr-Latn-RS"/>
        </w:rPr>
        <w:t xml:space="preserve"> а </w:t>
      </w:r>
      <w:r w:rsidR="002C2785" w:rsidRPr="00FD32EC">
        <w:rPr>
          <w:rFonts w:eastAsia="Times New Roman"/>
          <w:lang w:val="sr-Cyrl-RS" w:eastAsia="sr-Latn-RS"/>
        </w:rPr>
        <w:t xml:space="preserve">најкраће </w:t>
      </w:r>
      <w:proofErr w:type="spellStart"/>
      <w:r w:rsidRPr="00FD32EC">
        <w:rPr>
          <w:rFonts w:eastAsia="Times New Roman"/>
          <w:lang w:eastAsia="sr-Latn-RS"/>
        </w:rPr>
        <w:t>док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трају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услови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из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става</w:t>
      </w:r>
      <w:proofErr w:type="spellEnd"/>
      <w:r w:rsidRPr="00FD32EC">
        <w:rPr>
          <w:rFonts w:eastAsia="Times New Roman"/>
          <w:lang w:eastAsia="sr-Latn-RS"/>
        </w:rPr>
        <w:t xml:space="preserve"> 1. </w:t>
      </w:r>
      <w:proofErr w:type="spellStart"/>
      <w:r w:rsidRPr="00FD32EC">
        <w:rPr>
          <w:rFonts w:eastAsia="Times New Roman"/>
          <w:lang w:eastAsia="sr-Latn-RS"/>
        </w:rPr>
        <w:t>овог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члана</w:t>
      </w:r>
      <w:proofErr w:type="spellEnd"/>
      <w:r w:rsidRPr="00FD32EC">
        <w:rPr>
          <w:rFonts w:eastAsia="Times New Roman"/>
          <w:lang w:eastAsia="sr-Latn-RS"/>
        </w:rPr>
        <w:t xml:space="preserve">. </w:t>
      </w:r>
    </w:p>
    <w:p w14:paraId="388614DE" w14:textId="77777777" w:rsidR="0054763C" w:rsidRPr="00FD32EC" w:rsidRDefault="0054763C" w:rsidP="0054763C">
      <w:pPr>
        <w:spacing w:after="120"/>
        <w:jc w:val="center"/>
        <w:rPr>
          <w:rFonts w:eastAsia="Times New Roman"/>
          <w:lang w:val="sr-Cyrl-RS" w:eastAsia="sr-Latn-RS"/>
        </w:rPr>
      </w:pPr>
      <w:bookmarkStart w:id="14" w:name="clan_18"/>
      <w:bookmarkEnd w:id="14"/>
    </w:p>
    <w:p w14:paraId="11430CE2" w14:textId="7751177F" w:rsidR="002A33E2" w:rsidRPr="00FD32EC" w:rsidRDefault="006C68C6" w:rsidP="0054763C">
      <w:pPr>
        <w:spacing w:after="120"/>
        <w:jc w:val="center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Члан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r w:rsidR="001D3803" w:rsidRPr="00FD32EC">
        <w:rPr>
          <w:rFonts w:eastAsia="Times New Roman"/>
          <w:lang w:val="sr-Cyrl-RS" w:eastAsia="sr-Latn-RS"/>
        </w:rPr>
        <w:t>1</w:t>
      </w:r>
      <w:r w:rsidR="00F05DAF" w:rsidRPr="00FD32EC">
        <w:rPr>
          <w:rFonts w:eastAsia="Times New Roman"/>
          <w:lang w:val="sr-Cyrl-RS" w:eastAsia="sr-Latn-RS"/>
        </w:rPr>
        <w:t>7</w:t>
      </w:r>
      <w:r w:rsidR="0094076C" w:rsidRPr="00FD32EC">
        <w:rPr>
          <w:rFonts w:eastAsia="Times New Roman"/>
          <w:lang w:val="sr-Cyrl-RS" w:eastAsia="sr-Latn-RS"/>
        </w:rPr>
        <w:t>.</w:t>
      </w:r>
    </w:p>
    <w:p w14:paraId="5451E230" w14:textId="1D3954E7" w:rsidR="00536D0D" w:rsidRPr="00FD32EC" w:rsidRDefault="00992926" w:rsidP="0054763C">
      <w:pPr>
        <w:spacing w:after="120"/>
        <w:jc w:val="both"/>
        <w:rPr>
          <w:rFonts w:eastAsia="Times New Roman"/>
          <w:lang w:eastAsia="sr-Latn-RS"/>
        </w:rPr>
      </w:pPr>
      <w:r w:rsidRPr="00FD32EC">
        <w:rPr>
          <w:rFonts w:eastAsia="Times New Roman"/>
          <w:lang w:val="sr-Cyrl-RS" w:eastAsia="sr-Latn-RS"/>
        </w:rPr>
        <w:t>Храна и храна за животиње</w:t>
      </w:r>
      <w:r w:rsidR="00963EA8" w:rsidRPr="00FD32EC">
        <w:rPr>
          <w:rFonts w:eastAsia="Times New Roman"/>
          <w:lang w:val="sr-Cyrl-RS"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који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нису</w:t>
      </w:r>
      <w:proofErr w:type="spellEnd"/>
      <w:r w:rsidR="002A33E2" w:rsidRPr="00FD32EC">
        <w:rPr>
          <w:rFonts w:eastAsia="Times New Roman"/>
          <w:lang w:eastAsia="sr-Latn-RS"/>
        </w:rPr>
        <w:t xml:space="preserve"> у </w:t>
      </w:r>
      <w:proofErr w:type="spellStart"/>
      <w:r w:rsidR="002A33E2" w:rsidRPr="00FD32EC">
        <w:rPr>
          <w:rFonts w:eastAsia="Times New Roman"/>
          <w:lang w:eastAsia="sr-Latn-RS"/>
        </w:rPr>
        <w:t>складу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границама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садржаја</w:t>
      </w:r>
      <w:proofErr w:type="spellEnd"/>
      <w:r w:rsidR="002A33E2" w:rsidRPr="00FD32EC">
        <w:rPr>
          <w:rFonts w:eastAsia="Times New Roman"/>
          <w:lang w:eastAsia="sr-Latn-RS"/>
        </w:rPr>
        <w:t xml:space="preserve"> радионуклида </w:t>
      </w:r>
      <w:proofErr w:type="spellStart"/>
      <w:r w:rsidR="002A33E2" w:rsidRPr="00FD32EC">
        <w:rPr>
          <w:rFonts w:eastAsia="Times New Roman"/>
          <w:lang w:eastAsia="sr-Latn-RS"/>
        </w:rPr>
        <w:t>наведеним</w:t>
      </w:r>
      <w:proofErr w:type="spellEnd"/>
      <w:r w:rsidR="002A33E2" w:rsidRPr="00FD32EC">
        <w:rPr>
          <w:rFonts w:eastAsia="Times New Roman"/>
          <w:lang w:eastAsia="sr-Latn-RS"/>
        </w:rPr>
        <w:t xml:space="preserve"> у </w:t>
      </w:r>
      <w:r w:rsidR="000972E4" w:rsidRPr="00FD32EC">
        <w:rPr>
          <w:rFonts w:eastAsia="Times New Roman"/>
          <w:lang w:val="sr-Cyrl-RS" w:eastAsia="sr-Latn-RS"/>
        </w:rPr>
        <w:t xml:space="preserve">Прилогу </w:t>
      </w:r>
      <w:r w:rsidR="00452919" w:rsidRPr="00FD32EC">
        <w:rPr>
          <w:rFonts w:eastAsia="Times New Roman"/>
          <w:lang w:val="sr-Cyrl-RS" w:eastAsia="sr-Latn-RS"/>
        </w:rPr>
        <w:t>3</w:t>
      </w:r>
      <w:r w:rsidR="000972E4" w:rsidRPr="00FD32EC">
        <w:rPr>
          <w:rFonts w:eastAsia="Times New Roman"/>
          <w:lang w:val="sr-Cyrl-RS" w:eastAsia="sr-Latn-RS"/>
        </w:rPr>
        <w:t xml:space="preserve">, </w:t>
      </w:r>
      <w:r w:rsidR="00452919" w:rsidRPr="00FD32EC">
        <w:rPr>
          <w:rFonts w:eastAsia="Times New Roman"/>
          <w:lang w:val="sr-Cyrl-RS" w:eastAsia="sr-Latn-RS"/>
        </w:rPr>
        <w:t>Т</w:t>
      </w:r>
      <w:proofErr w:type="spellStart"/>
      <w:r w:rsidR="000972E4" w:rsidRPr="00FD32EC">
        <w:rPr>
          <w:rFonts w:eastAsia="Times New Roman"/>
          <w:lang w:eastAsia="sr-Latn-RS"/>
        </w:rPr>
        <w:t>абел</w:t>
      </w:r>
      <w:proofErr w:type="spellEnd"/>
      <w:r w:rsidR="000972E4" w:rsidRPr="00FD32EC">
        <w:rPr>
          <w:rFonts w:eastAsia="Times New Roman"/>
          <w:lang w:val="sr-Cyrl-RS" w:eastAsia="sr-Latn-RS"/>
        </w:rPr>
        <w:t>а</w:t>
      </w:r>
      <w:r w:rsidR="000972E4" w:rsidRPr="00FD32EC">
        <w:rPr>
          <w:rFonts w:eastAsia="Times New Roman"/>
          <w:lang w:eastAsia="sr-Latn-RS"/>
        </w:rPr>
        <w:t xml:space="preserve"> </w:t>
      </w:r>
      <w:r w:rsidR="000972E4" w:rsidRPr="00FD32EC">
        <w:rPr>
          <w:rFonts w:eastAsia="Times New Roman"/>
          <w:lang w:val="sr-Cyrl-RS" w:eastAsia="sr-Latn-RS"/>
        </w:rPr>
        <w:t>1</w:t>
      </w:r>
      <w:r w:rsidR="000972E4" w:rsidRPr="00FD32EC">
        <w:rPr>
          <w:rFonts w:eastAsia="Times New Roman"/>
          <w:lang w:eastAsia="sr-Latn-RS"/>
        </w:rPr>
        <w:t xml:space="preserve">. и </w:t>
      </w:r>
      <w:r w:rsidR="00452919" w:rsidRPr="00FD32EC">
        <w:rPr>
          <w:rFonts w:eastAsia="Times New Roman"/>
          <w:lang w:val="sr-Cyrl-RS" w:eastAsia="sr-Latn-RS"/>
        </w:rPr>
        <w:t>Т</w:t>
      </w:r>
      <w:proofErr w:type="spellStart"/>
      <w:r w:rsidR="000972E4" w:rsidRPr="00FD32EC">
        <w:rPr>
          <w:rFonts w:eastAsia="Times New Roman"/>
          <w:lang w:eastAsia="sr-Latn-RS"/>
        </w:rPr>
        <w:t>абел</w:t>
      </w:r>
      <w:proofErr w:type="spellEnd"/>
      <w:r w:rsidR="000972E4" w:rsidRPr="00FD32EC">
        <w:rPr>
          <w:rFonts w:eastAsia="Times New Roman"/>
          <w:lang w:val="sr-Cyrl-RS" w:eastAsia="sr-Latn-RS"/>
        </w:rPr>
        <w:t>а</w:t>
      </w:r>
      <w:r w:rsidR="000972E4" w:rsidRPr="00FD32EC">
        <w:rPr>
          <w:rFonts w:eastAsia="Times New Roman"/>
          <w:lang w:eastAsia="sr-Latn-RS"/>
        </w:rPr>
        <w:t xml:space="preserve"> </w:t>
      </w:r>
      <w:r w:rsidR="000972E4" w:rsidRPr="00FD32EC">
        <w:rPr>
          <w:rFonts w:eastAsia="Times New Roman"/>
          <w:lang w:val="sr-Cyrl-RS" w:eastAsia="sr-Latn-RS"/>
        </w:rPr>
        <w:t>3</w:t>
      </w:r>
      <w:r w:rsidR="002A33E2" w:rsidRPr="00FD32EC">
        <w:rPr>
          <w:rFonts w:eastAsia="Times New Roman"/>
          <w:lang w:eastAsia="sr-Latn-RS"/>
        </w:rPr>
        <w:t xml:space="preserve">, </w:t>
      </w:r>
      <w:proofErr w:type="spellStart"/>
      <w:r w:rsidR="002A33E2" w:rsidRPr="00FD32EC">
        <w:rPr>
          <w:rFonts w:eastAsia="Times New Roman"/>
          <w:lang w:eastAsia="sr-Latn-RS"/>
        </w:rPr>
        <w:t>за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време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док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су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ове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границе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на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снази</w:t>
      </w:r>
      <w:proofErr w:type="spellEnd"/>
      <w:r w:rsidR="002A33E2" w:rsidRPr="00FD32EC">
        <w:rPr>
          <w:rFonts w:eastAsia="Times New Roman"/>
          <w:lang w:eastAsia="sr-Latn-RS"/>
        </w:rPr>
        <w:t xml:space="preserve">, </w:t>
      </w:r>
      <w:proofErr w:type="spellStart"/>
      <w:r w:rsidR="002A33E2" w:rsidRPr="00FD32EC">
        <w:rPr>
          <w:rFonts w:eastAsia="Times New Roman"/>
          <w:lang w:eastAsia="sr-Latn-RS"/>
        </w:rPr>
        <w:t>не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могу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ставити</w:t>
      </w:r>
      <w:proofErr w:type="spellEnd"/>
      <w:r w:rsidR="002A33E2" w:rsidRPr="00FD32EC">
        <w:rPr>
          <w:rFonts w:eastAsia="Times New Roman"/>
          <w:lang w:eastAsia="sr-Latn-RS"/>
        </w:rPr>
        <w:t xml:space="preserve"> у </w:t>
      </w:r>
      <w:proofErr w:type="spellStart"/>
      <w:r w:rsidR="002A33E2" w:rsidRPr="00FD32EC">
        <w:rPr>
          <w:rFonts w:eastAsia="Times New Roman"/>
          <w:lang w:eastAsia="sr-Latn-RS"/>
        </w:rPr>
        <w:t>промет</w:t>
      </w:r>
      <w:proofErr w:type="spellEnd"/>
      <w:r w:rsidR="002A33E2" w:rsidRPr="00FD32EC">
        <w:rPr>
          <w:rFonts w:eastAsia="Times New Roman"/>
          <w:lang w:eastAsia="sr-Latn-RS"/>
        </w:rPr>
        <w:t xml:space="preserve">. </w:t>
      </w:r>
    </w:p>
    <w:p w14:paraId="645F2C18" w14:textId="77777777" w:rsidR="00395A8E" w:rsidRPr="00FD32EC" w:rsidRDefault="00395A8E" w:rsidP="0054763C">
      <w:pPr>
        <w:spacing w:after="120"/>
        <w:jc w:val="both"/>
        <w:rPr>
          <w:rFonts w:eastAsia="Times New Roman"/>
          <w:lang w:eastAsia="sr-Latn-RS"/>
        </w:rPr>
      </w:pPr>
    </w:p>
    <w:p w14:paraId="322B7AB3" w14:textId="6CFE739E" w:rsidR="00536D0D" w:rsidRPr="00FD32EC" w:rsidRDefault="00A74AD4" w:rsidP="0054763C">
      <w:pPr>
        <w:spacing w:after="120"/>
        <w:jc w:val="center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eastAsia="sr-Latn-RS"/>
        </w:rPr>
        <w:t>I</w:t>
      </w:r>
      <w:r w:rsidR="00536D0D" w:rsidRPr="00FD32EC">
        <w:rPr>
          <w:rFonts w:eastAsia="Times New Roman"/>
          <w:bCs/>
          <w:lang w:eastAsia="sr-Latn-RS"/>
        </w:rPr>
        <w:t xml:space="preserve">II </w:t>
      </w:r>
      <w:r w:rsidR="00536D0D" w:rsidRPr="00FD32EC">
        <w:rPr>
          <w:rFonts w:eastAsia="Times New Roman"/>
          <w:bCs/>
          <w:lang w:val="sr-Cyrl-RS" w:eastAsia="sr-Latn-RS"/>
        </w:rPr>
        <w:t>ЗАВРШНЕ ОДРЕДБЕ</w:t>
      </w:r>
    </w:p>
    <w:p w14:paraId="490EE0AC" w14:textId="22B8867D" w:rsidR="007E75CC" w:rsidRPr="00FD32EC" w:rsidRDefault="007E75CC" w:rsidP="0054763C">
      <w:pPr>
        <w:spacing w:after="120"/>
        <w:jc w:val="center"/>
        <w:rPr>
          <w:rFonts w:eastAsia="Times New Roman"/>
          <w:bCs/>
          <w:noProof/>
          <w:lang w:eastAsia="sr-Cyrl-RS"/>
        </w:rPr>
      </w:pPr>
      <w:r w:rsidRPr="00FD32EC">
        <w:rPr>
          <w:rFonts w:eastAsia="Times New Roman"/>
          <w:bCs/>
          <w:noProof/>
          <w:lang w:val="sr-Cyrl-RS" w:eastAsia="sr-Cyrl-RS"/>
        </w:rPr>
        <w:t>Престанак важења Правилника</w:t>
      </w:r>
    </w:p>
    <w:p w14:paraId="5ACDF070" w14:textId="1F018130" w:rsidR="007E75CC" w:rsidRPr="00FD32EC" w:rsidRDefault="007E75CC" w:rsidP="0054763C">
      <w:pPr>
        <w:spacing w:after="120"/>
        <w:jc w:val="center"/>
        <w:rPr>
          <w:rFonts w:eastAsia="Times New Roman"/>
          <w:bCs/>
          <w:noProof/>
          <w:lang w:eastAsia="sr-Cyrl-RS"/>
        </w:rPr>
      </w:pPr>
      <w:r w:rsidRPr="00FD32EC">
        <w:rPr>
          <w:rFonts w:eastAsia="Times New Roman"/>
          <w:bCs/>
          <w:noProof/>
          <w:lang w:val="sr-Cyrl-RS" w:eastAsia="sr-Cyrl-RS"/>
        </w:rPr>
        <w:t xml:space="preserve">Члан </w:t>
      </w:r>
      <w:r w:rsidR="00F05DAF" w:rsidRPr="00FD32EC">
        <w:rPr>
          <w:rFonts w:eastAsia="Times New Roman"/>
          <w:bCs/>
          <w:noProof/>
          <w:lang w:val="sr-Cyrl-RS" w:eastAsia="sr-Cyrl-RS"/>
        </w:rPr>
        <w:t>18</w:t>
      </w:r>
      <w:r w:rsidR="0094076C" w:rsidRPr="00FD32EC">
        <w:rPr>
          <w:rFonts w:eastAsia="Times New Roman"/>
          <w:bCs/>
          <w:noProof/>
          <w:lang w:val="sr-Cyrl-RS" w:eastAsia="sr-Cyrl-RS"/>
        </w:rPr>
        <w:t>.</w:t>
      </w:r>
    </w:p>
    <w:p w14:paraId="298DDD3E" w14:textId="7BC142C8" w:rsidR="007E75CC" w:rsidRPr="00FD32EC" w:rsidRDefault="007E75CC" w:rsidP="0054763C">
      <w:pPr>
        <w:spacing w:after="120"/>
        <w:jc w:val="both"/>
        <w:rPr>
          <w:rFonts w:eastAsia="Times New Roman"/>
          <w:noProof/>
          <w:lang w:val="sr-Cyrl-RS" w:eastAsia="sr-Cyrl-RS"/>
        </w:rPr>
      </w:pPr>
      <w:r w:rsidRPr="00FD32EC">
        <w:rPr>
          <w:rFonts w:eastAsia="Times New Roman"/>
          <w:noProof/>
          <w:lang w:val="sr-Cyrl-RS" w:eastAsia="sr-Cyrl-RS"/>
        </w:rPr>
        <w:t>Даном ступања на снагу овог правил</w:t>
      </w:r>
      <w:r w:rsidR="006B3556" w:rsidRPr="00FD32EC">
        <w:rPr>
          <w:rFonts w:eastAsia="Times New Roman"/>
          <w:noProof/>
          <w:lang w:val="sr-Cyrl-RS" w:eastAsia="sr-Cyrl-RS"/>
        </w:rPr>
        <w:t>ника, престаје да важи</w:t>
      </w:r>
      <w:r w:rsidRPr="00FD32EC">
        <w:rPr>
          <w:rFonts w:eastAsia="Times New Roman"/>
          <w:noProof/>
          <w:lang w:val="sr-Cyrl-RS" w:eastAsia="sr-Cyrl-RS"/>
        </w:rPr>
        <w:t xml:space="preserve"> </w:t>
      </w:r>
      <w:r w:rsidR="006B3556" w:rsidRPr="00FD32EC">
        <w:rPr>
          <w:rFonts w:eastAsia="Times New Roman"/>
          <w:noProof/>
          <w:lang w:val="sr-Cyrl-RS" w:eastAsia="sr-Cyrl-RS"/>
        </w:rPr>
        <w:t>Правилник о границама садржаја радионуклида у води за пиће, животним намирницама, сточној храни, лековима, предметима опште употребе, грађевинском материјалу и другој роби која се ставља у промет ("Службени гласник РС", бр. 86/11 и 97/13)</w:t>
      </w:r>
      <w:r w:rsidR="00A73005" w:rsidRPr="00FD32EC">
        <w:rPr>
          <w:rFonts w:eastAsia="Times New Roman"/>
          <w:noProof/>
          <w:lang w:val="sr-Cyrl-RS" w:eastAsia="sr-Cyrl-RS"/>
        </w:rPr>
        <w:t>, члан</w:t>
      </w:r>
      <w:r w:rsidR="00B87FF7" w:rsidRPr="00FD32EC">
        <w:rPr>
          <w:rFonts w:eastAsia="Times New Roman"/>
          <w:noProof/>
          <w:lang w:val="sr-Cyrl-RS" w:eastAsia="sr-Cyrl-RS"/>
        </w:rPr>
        <w:t>ови</w:t>
      </w:r>
      <w:r w:rsidR="00A73005" w:rsidRPr="00FD32EC">
        <w:rPr>
          <w:rFonts w:eastAsia="Times New Roman"/>
          <w:noProof/>
          <w:lang w:val="sr-Cyrl-RS" w:eastAsia="sr-Cyrl-RS"/>
        </w:rPr>
        <w:t xml:space="preserve"> 7</w:t>
      </w:r>
      <w:r w:rsidR="00B87FF7" w:rsidRPr="00FD32EC">
        <w:rPr>
          <w:rFonts w:eastAsia="Times New Roman"/>
          <w:noProof/>
          <w:lang w:val="sr-Cyrl-RS" w:eastAsia="sr-Cyrl-RS"/>
        </w:rPr>
        <w:t>. и 8. Правилника о границама радиоактивне контаминације и о начину спровођења деконтаминације („Службени гласник РС“, бр. 38/11).</w:t>
      </w:r>
    </w:p>
    <w:p w14:paraId="426D6439" w14:textId="77777777" w:rsidR="00395A8E" w:rsidRPr="00FD32EC" w:rsidRDefault="00395A8E" w:rsidP="0054763C">
      <w:pPr>
        <w:spacing w:after="120"/>
        <w:jc w:val="both"/>
        <w:rPr>
          <w:rFonts w:eastAsia="Times New Roman"/>
          <w:noProof/>
          <w:lang w:val="sr-Cyrl-RS" w:eastAsia="sr-Cyrl-RS"/>
        </w:rPr>
      </w:pPr>
    </w:p>
    <w:p w14:paraId="79AAAA3B" w14:textId="48358CA6" w:rsidR="006C68C6" w:rsidRPr="00FD32EC" w:rsidRDefault="00536D0D" w:rsidP="0054763C">
      <w:pPr>
        <w:spacing w:after="120"/>
        <w:jc w:val="center"/>
        <w:rPr>
          <w:rFonts w:eastAsia="Times New Roman"/>
          <w:bCs/>
          <w:lang w:eastAsia="sr-Latn-RS"/>
        </w:rPr>
      </w:pPr>
      <w:r w:rsidRPr="00FD32EC">
        <w:rPr>
          <w:rFonts w:eastAsia="Times New Roman"/>
          <w:bCs/>
          <w:lang w:val="sr-Cyrl-RS" w:eastAsia="sr-Latn-RS"/>
        </w:rPr>
        <w:t>Ступање на снагу</w:t>
      </w:r>
    </w:p>
    <w:p w14:paraId="23519D3C" w14:textId="0E74AFD1" w:rsidR="002A33E2" w:rsidRPr="00FD32EC" w:rsidRDefault="006C68C6" w:rsidP="0054763C">
      <w:pPr>
        <w:spacing w:after="120"/>
        <w:jc w:val="center"/>
        <w:rPr>
          <w:rFonts w:eastAsia="Times New Roman"/>
          <w:bCs/>
          <w:lang w:val="sr-Cyrl-RS" w:eastAsia="sr-Latn-RS"/>
        </w:rPr>
      </w:pPr>
      <w:bookmarkStart w:id="15" w:name="clan_19"/>
      <w:bookmarkEnd w:id="15"/>
      <w:proofErr w:type="spellStart"/>
      <w:r w:rsidRPr="00FD32EC">
        <w:rPr>
          <w:rFonts w:eastAsia="Times New Roman"/>
          <w:bCs/>
          <w:lang w:eastAsia="sr-Latn-RS"/>
        </w:rPr>
        <w:t>Члан</w:t>
      </w:r>
      <w:proofErr w:type="spellEnd"/>
      <w:r w:rsidR="002A33E2" w:rsidRPr="00FD32EC">
        <w:rPr>
          <w:rFonts w:eastAsia="Times New Roman"/>
          <w:bCs/>
          <w:lang w:eastAsia="sr-Latn-RS"/>
        </w:rPr>
        <w:t xml:space="preserve"> </w:t>
      </w:r>
      <w:r w:rsidR="00F05DAF" w:rsidRPr="00FD32EC">
        <w:rPr>
          <w:rFonts w:eastAsia="Times New Roman"/>
          <w:bCs/>
          <w:lang w:val="sr-Cyrl-RS" w:eastAsia="sr-Latn-RS"/>
        </w:rPr>
        <w:t>19</w:t>
      </w:r>
      <w:r w:rsidR="0094076C" w:rsidRPr="00FD32EC">
        <w:rPr>
          <w:rFonts w:eastAsia="Times New Roman"/>
          <w:bCs/>
          <w:lang w:val="sr-Cyrl-RS" w:eastAsia="sr-Latn-RS"/>
        </w:rPr>
        <w:t>.</w:t>
      </w:r>
    </w:p>
    <w:p w14:paraId="0D09CDC2" w14:textId="77777777" w:rsidR="002A33E2" w:rsidRPr="00FD32EC" w:rsidRDefault="002A33E2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Овај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правилник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ступа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на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снагу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осм</w:t>
      </w:r>
      <w:r w:rsidR="00235E9F" w:rsidRPr="00FD32EC">
        <w:rPr>
          <w:rFonts w:eastAsia="Times New Roman"/>
          <w:lang w:eastAsia="sr-Latn-RS"/>
        </w:rPr>
        <w:t>ог</w:t>
      </w:r>
      <w:proofErr w:type="spellEnd"/>
      <w:r w:rsidR="00235E9F" w:rsidRPr="00FD32EC">
        <w:rPr>
          <w:rFonts w:eastAsia="Times New Roman"/>
          <w:lang w:eastAsia="sr-Latn-RS"/>
        </w:rPr>
        <w:t xml:space="preserve"> </w:t>
      </w:r>
      <w:proofErr w:type="spellStart"/>
      <w:r w:rsidR="00235E9F" w:rsidRPr="00FD32EC">
        <w:rPr>
          <w:rFonts w:eastAsia="Times New Roman"/>
          <w:lang w:eastAsia="sr-Latn-RS"/>
        </w:rPr>
        <w:t>дана</w:t>
      </w:r>
      <w:proofErr w:type="spellEnd"/>
      <w:r w:rsidR="00235E9F" w:rsidRPr="00FD32EC">
        <w:rPr>
          <w:rFonts w:eastAsia="Times New Roman"/>
          <w:lang w:eastAsia="sr-Latn-RS"/>
        </w:rPr>
        <w:t xml:space="preserve"> </w:t>
      </w:r>
      <w:proofErr w:type="spellStart"/>
      <w:r w:rsidR="00235E9F" w:rsidRPr="00FD32EC">
        <w:rPr>
          <w:rFonts w:eastAsia="Times New Roman"/>
          <w:lang w:eastAsia="sr-Latn-RS"/>
        </w:rPr>
        <w:t>од</w:t>
      </w:r>
      <w:proofErr w:type="spellEnd"/>
      <w:r w:rsidR="00235E9F" w:rsidRPr="00FD32EC">
        <w:rPr>
          <w:rFonts w:eastAsia="Times New Roman"/>
          <w:lang w:eastAsia="sr-Latn-RS"/>
        </w:rPr>
        <w:t xml:space="preserve"> </w:t>
      </w:r>
      <w:proofErr w:type="spellStart"/>
      <w:r w:rsidR="00235E9F" w:rsidRPr="00FD32EC">
        <w:rPr>
          <w:rFonts w:eastAsia="Times New Roman"/>
          <w:lang w:eastAsia="sr-Latn-RS"/>
        </w:rPr>
        <w:t>дана</w:t>
      </w:r>
      <w:proofErr w:type="spellEnd"/>
      <w:r w:rsidR="00235E9F" w:rsidRPr="00FD32EC">
        <w:rPr>
          <w:rFonts w:eastAsia="Times New Roman"/>
          <w:lang w:eastAsia="sr-Latn-RS"/>
        </w:rPr>
        <w:t xml:space="preserve"> </w:t>
      </w:r>
      <w:proofErr w:type="spellStart"/>
      <w:r w:rsidR="00235E9F" w:rsidRPr="00FD32EC">
        <w:rPr>
          <w:rFonts w:eastAsia="Times New Roman"/>
          <w:lang w:eastAsia="sr-Latn-RS"/>
        </w:rPr>
        <w:t>објављивања</w:t>
      </w:r>
      <w:proofErr w:type="spellEnd"/>
      <w:r w:rsidR="00235E9F" w:rsidRPr="00FD32EC">
        <w:rPr>
          <w:rFonts w:eastAsia="Times New Roman"/>
          <w:lang w:eastAsia="sr-Latn-RS"/>
        </w:rPr>
        <w:t xml:space="preserve"> у "</w:t>
      </w:r>
      <w:r w:rsidR="00235E9F" w:rsidRPr="00FD32EC">
        <w:rPr>
          <w:rFonts w:eastAsia="Times New Roman"/>
          <w:lang w:val="sr-Cyrl-RS" w:eastAsia="sr-Latn-RS"/>
        </w:rPr>
        <w:t>С</w:t>
      </w:r>
      <w:proofErr w:type="spellStart"/>
      <w:r w:rsidRPr="00FD32EC">
        <w:rPr>
          <w:rFonts w:eastAsia="Times New Roman"/>
          <w:lang w:eastAsia="sr-Latn-RS"/>
        </w:rPr>
        <w:t>лужбеном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гласнику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Републике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Србије</w:t>
      </w:r>
      <w:proofErr w:type="spellEnd"/>
      <w:r w:rsidRPr="00FD32EC">
        <w:rPr>
          <w:rFonts w:eastAsia="Times New Roman"/>
          <w:lang w:eastAsia="sr-Latn-RS"/>
        </w:rPr>
        <w:t xml:space="preserve">". </w:t>
      </w:r>
    </w:p>
    <w:p w14:paraId="4C273F7A" w14:textId="6C9BF01A" w:rsidR="00A02826" w:rsidRPr="00FD32EC" w:rsidRDefault="00A02826" w:rsidP="0054763C">
      <w:pPr>
        <w:spacing w:after="120"/>
        <w:rPr>
          <w:rFonts w:eastAsia="Times New Roman"/>
          <w:lang w:eastAsia="sr-Latn-RS"/>
        </w:rPr>
      </w:pPr>
      <w:r w:rsidRPr="00FD32EC">
        <w:rPr>
          <w:rFonts w:eastAsia="Times New Roman"/>
          <w:lang w:eastAsia="sr-Latn-RS"/>
        </w:rPr>
        <w:br w:type="page"/>
      </w:r>
    </w:p>
    <w:p w14:paraId="35570AB6" w14:textId="77777777" w:rsidR="006B3556" w:rsidRPr="00FD32EC" w:rsidRDefault="006B3556" w:rsidP="0054763C">
      <w:pPr>
        <w:spacing w:after="120"/>
        <w:rPr>
          <w:rFonts w:eastAsia="Times New Roman"/>
          <w:lang w:eastAsia="sr-Latn-RS"/>
        </w:rPr>
      </w:pPr>
    </w:p>
    <w:p w14:paraId="18BB0769" w14:textId="2661D67E" w:rsidR="00856583" w:rsidRPr="00FD32EC" w:rsidRDefault="005B7218" w:rsidP="0054763C">
      <w:p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>ПРИЛОГ</w:t>
      </w:r>
      <w:r w:rsidRPr="00FD32EC">
        <w:rPr>
          <w:rFonts w:eastAsia="Times New Roman"/>
          <w:b/>
          <w:lang w:eastAsia="sr-Latn-RS"/>
        </w:rPr>
        <w:t xml:space="preserve"> </w:t>
      </w:r>
      <w:r w:rsidRPr="00FD32EC">
        <w:rPr>
          <w:rFonts w:eastAsia="Times New Roman"/>
          <w:b/>
          <w:lang w:val="sr-Cyrl-RS" w:eastAsia="sr-Latn-RS"/>
        </w:rPr>
        <w:t>1.</w:t>
      </w:r>
      <w:r w:rsidR="00C64028" w:rsidRPr="00FD32EC">
        <w:rPr>
          <w:rFonts w:eastAsia="Times New Roman"/>
          <w:b/>
          <w:lang w:val="sr-Cyrl-RS" w:eastAsia="sr-Latn-RS"/>
        </w:rPr>
        <w:t xml:space="preserve"> </w:t>
      </w:r>
    </w:p>
    <w:p w14:paraId="5A1803AF" w14:textId="77777777" w:rsidR="00856583" w:rsidRPr="00FD32EC" w:rsidRDefault="00856583" w:rsidP="0054763C">
      <w:pPr>
        <w:spacing w:after="120"/>
        <w:rPr>
          <w:rFonts w:eastAsia="Times New Roman"/>
          <w:b/>
          <w:lang w:val="sr-Cyrl-RS" w:eastAsia="sr-Latn-RS"/>
        </w:rPr>
      </w:pPr>
    </w:p>
    <w:p w14:paraId="665247C8" w14:textId="77777777" w:rsidR="0088139C" w:rsidRPr="00FD32EC" w:rsidRDefault="00C64028" w:rsidP="0054763C">
      <w:pPr>
        <w:spacing w:after="120"/>
        <w:jc w:val="center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>Процена усклађености резултата мерења са параметарским вредностима</w:t>
      </w:r>
    </w:p>
    <w:p w14:paraId="7D98C37B" w14:textId="77777777" w:rsidR="000756D7" w:rsidRPr="00FD32EC" w:rsidRDefault="000756D7" w:rsidP="0054763C">
      <w:pPr>
        <w:spacing w:after="120"/>
        <w:jc w:val="center"/>
        <w:rPr>
          <w:rFonts w:eastAsia="Times New Roman"/>
          <w:b/>
          <w:lang w:val="sr-Cyrl-RS" w:eastAsia="sr-Latn-RS"/>
        </w:rPr>
      </w:pPr>
    </w:p>
    <w:p w14:paraId="6890413D" w14:textId="77777777" w:rsidR="00B03AEC" w:rsidRPr="00FD32EC" w:rsidRDefault="00B03AEC" w:rsidP="0054763C">
      <w:pPr>
        <w:pStyle w:val="ListParagraph"/>
        <w:numPr>
          <w:ilvl w:val="0"/>
          <w:numId w:val="1"/>
        </w:num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 xml:space="preserve">Параметарске вредности за радон, </w:t>
      </w:r>
      <w:proofErr w:type="spellStart"/>
      <w:r w:rsidRPr="00FD32EC">
        <w:rPr>
          <w:rFonts w:eastAsia="Times New Roman"/>
          <w:b/>
          <w:lang w:val="sr-Cyrl-RS" w:eastAsia="sr-Latn-RS"/>
        </w:rPr>
        <w:t>трицијум</w:t>
      </w:r>
      <w:proofErr w:type="spellEnd"/>
      <w:r w:rsidRPr="00FD32EC">
        <w:rPr>
          <w:rFonts w:eastAsia="Times New Roman"/>
          <w:b/>
          <w:lang w:val="sr-Cyrl-RS" w:eastAsia="sr-Latn-RS"/>
        </w:rPr>
        <w:t xml:space="preserve"> и индикативну дозу</w:t>
      </w:r>
      <w:r w:rsidR="00D32689" w:rsidRPr="00FD32EC">
        <w:rPr>
          <w:rFonts w:eastAsia="Times New Roman"/>
          <w:b/>
          <w:lang w:val="sr-Cyrl-RS" w:eastAsia="sr-Latn-RS"/>
        </w:rPr>
        <w:t xml:space="preserve"> за воду </w:t>
      </w:r>
      <w:r w:rsidR="00433CC4" w:rsidRPr="00FD32EC">
        <w:rPr>
          <w:rFonts w:eastAsia="Times New Roman"/>
          <w:b/>
          <w:lang w:val="sr-Cyrl-RS" w:eastAsia="sr-Latn-RS"/>
        </w:rPr>
        <w:t>за пиће</w:t>
      </w:r>
    </w:p>
    <w:p w14:paraId="0123AF3C" w14:textId="77777777" w:rsidR="0088139C" w:rsidRPr="00FD32EC" w:rsidRDefault="0061697B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 xml:space="preserve">Табела 1. Параметарске вредности за радон, </w:t>
      </w:r>
      <w:proofErr w:type="spellStart"/>
      <w:r w:rsidRPr="00FD32EC">
        <w:rPr>
          <w:rFonts w:eastAsia="Times New Roman"/>
          <w:lang w:val="sr-Cyrl-RS" w:eastAsia="sr-Latn-RS"/>
        </w:rPr>
        <w:t>трицијум</w:t>
      </w:r>
      <w:proofErr w:type="spellEnd"/>
      <w:r w:rsidRPr="00FD32EC">
        <w:rPr>
          <w:rFonts w:eastAsia="Times New Roman"/>
          <w:lang w:val="sr-Cyrl-RS" w:eastAsia="sr-Latn-RS"/>
        </w:rPr>
        <w:t xml:space="preserve"> и индикативну дозу за воду </w:t>
      </w:r>
      <w:r w:rsidR="00433CC4" w:rsidRPr="00FD32EC">
        <w:rPr>
          <w:rFonts w:eastAsia="Times New Roman"/>
          <w:lang w:val="sr-Cyrl-RS" w:eastAsia="sr-Latn-RS"/>
        </w:rPr>
        <w:t>за пиће</w:t>
      </w:r>
    </w:p>
    <w:tbl>
      <w:tblPr>
        <w:tblpPr w:leftFromText="141" w:rightFromText="141" w:vertAnchor="text" w:horzAnchor="margin" w:tblpXSpec="center" w:tblpY="288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161"/>
      </w:tblGrid>
      <w:tr w:rsidR="00FD32EC" w:rsidRPr="00FD32EC" w14:paraId="6873E4CF" w14:textId="77777777" w:rsidTr="000756D7">
        <w:tc>
          <w:tcPr>
            <w:tcW w:w="2625" w:type="dxa"/>
            <w:shd w:val="clear" w:color="auto" w:fill="auto"/>
          </w:tcPr>
          <w:p w14:paraId="51063DC1" w14:textId="77777777" w:rsidR="00D32689" w:rsidRPr="00FD32EC" w:rsidRDefault="00D32689" w:rsidP="0054763C">
            <w:pPr>
              <w:spacing w:after="120"/>
              <w:rPr>
                <w:lang w:val="sr-Cyrl-RS" w:eastAsia="de-DE"/>
              </w:rPr>
            </w:pPr>
            <w:r w:rsidRPr="00FD32EC">
              <w:rPr>
                <w:lang w:val="sr-Cyrl-RS" w:eastAsia="de-DE"/>
              </w:rPr>
              <w:t>Параметар</w:t>
            </w:r>
          </w:p>
        </w:tc>
        <w:tc>
          <w:tcPr>
            <w:tcW w:w="2161" w:type="dxa"/>
            <w:shd w:val="clear" w:color="auto" w:fill="auto"/>
          </w:tcPr>
          <w:p w14:paraId="777BEE5A" w14:textId="77777777" w:rsidR="00D32689" w:rsidRPr="00FD32EC" w:rsidRDefault="00D32689" w:rsidP="0054763C">
            <w:pPr>
              <w:spacing w:after="120"/>
              <w:jc w:val="center"/>
              <w:rPr>
                <w:lang w:val="sr-Cyrl-RS" w:eastAsia="de-DE"/>
              </w:rPr>
            </w:pPr>
            <w:r w:rsidRPr="00FD32EC">
              <w:rPr>
                <w:lang w:val="sr-Cyrl-RS" w:eastAsia="de-DE"/>
              </w:rPr>
              <w:t>Параметарска вредност</w:t>
            </w:r>
          </w:p>
        </w:tc>
      </w:tr>
      <w:tr w:rsidR="00FD32EC" w:rsidRPr="00FD32EC" w14:paraId="74022DDC" w14:textId="77777777" w:rsidTr="000756D7">
        <w:tc>
          <w:tcPr>
            <w:tcW w:w="2625" w:type="dxa"/>
            <w:shd w:val="clear" w:color="auto" w:fill="auto"/>
          </w:tcPr>
          <w:p w14:paraId="411DCB9D" w14:textId="77777777" w:rsidR="00D32689" w:rsidRPr="00FD32EC" w:rsidRDefault="00D32689" w:rsidP="0054763C">
            <w:pPr>
              <w:spacing w:after="120"/>
              <w:rPr>
                <w:lang w:val="sr-Cyrl-RS" w:eastAsia="de-DE"/>
              </w:rPr>
            </w:pPr>
            <w:r w:rsidRPr="00FD32EC">
              <w:rPr>
                <w:lang w:val="sr-Cyrl-RS" w:eastAsia="de-DE"/>
              </w:rPr>
              <w:t>Радон</w:t>
            </w:r>
            <w:r w:rsidRPr="00FD32EC">
              <w:rPr>
                <w:vertAlign w:val="superscript"/>
                <w:lang w:val="sr-Cyrl-RS" w:eastAsia="de-DE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2F192DE3" w14:textId="77777777" w:rsidR="00D32689" w:rsidRPr="00FD32EC" w:rsidRDefault="00D32689" w:rsidP="0054763C">
            <w:pPr>
              <w:spacing w:after="120"/>
              <w:jc w:val="center"/>
              <w:rPr>
                <w:lang w:eastAsia="de-DE"/>
              </w:rPr>
            </w:pPr>
            <w:r w:rsidRPr="00FD32EC">
              <w:rPr>
                <w:lang w:eastAsia="de-DE"/>
              </w:rPr>
              <w:t>100</w:t>
            </w:r>
            <w:r w:rsidR="000E7665" w:rsidRPr="00FD32EC">
              <w:rPr>
                <w:lang w:eastAsia="de-DE"/>
              </w:rPr>
              <w:t xml:space="preserve"> </w:t>
            </w:r>
            <w:proofErr w:type="spellStart"/>
            <w:r w:rsidR="000E7665" w:rsidRPr="00FD32EC">
              <w:rPr>
                <w:lang w:eastAsia="de-DE"/>
              </w:rPr>
              <w:t>Bq</w:t>
            </w:r>
            <w:proofErr w:type="spellEnd"/>
            <w:r w:rsidR="000E7665" w:rsidRPr="00FD32EC">
              <w:rPr>
                <w:lang w:eastAsia="de-DE"/>
              </w:rPr>
              <w:t>/l</w:t>
            </w:r>
          </w:p>
        </w:tc>
      </w:tr>
      <w:tr w:rsidR="00FD32EC" w:rsidRPr="00FD32EC" w14:paraId="7327C692" w14:textId="77777777" w:rsidTr="000756D7">
        <w:tc>
          <w:tcPr>
            <w:tcW w:w="2625" w:type="dxa"/>
            <w:shd w:val="clear" w:color="auto" w:fill="auto"/>
          </w:tcPr>
          <w:p w14:paraId="12A64D4E" w14:textId="77777777" w:rsidR="00D32689" w:rsidRPr="00FD32EC" w:rsidRDefault="00D32689" w:rsidP="0054763C">
            <w:pPr>
              <w:spacing w:after="120"/>
              <w:rPr>
                <w:lang w:val="sr-Cyrl-RS" w:eastAsia="de-DE"/>
              </w:rPr>
            </w:pPr>
            <w:r w:rsidRPr="00FD32EC">
              <w:rPr>
                <w:lang w:eastAsia="de-DE"/>
              </w:rPr>
              <w:t>T</w:t>
            </w:r>
            <w:r w:rsidRPr="00FD32EC">
              <w:rPr>
                <w:lang w:val="sr-Cyrl-RS" w:eastAsia="de-DE"/>
              </w:rPr>
              <w:t>рицијум</w:t>
            </w:r>
            <w:r w:rsidRPr="00FD32EC">
              <w:rPr>
                <w:vertAlign w:val="superscript"/>
                <w:lang w:val="sr-Cyrl-RS" w:eastAsia="de-DE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10F070E5" w14:textId="77777777" w:rsidR="00D32689" w:rsidRPr="00FD32EC" w:rsidRDefault="00D32689" w:rsidP="0054763C">
            <w:pPr>
              <w:spacing w:after="120"/>
              <w:jc w:val="center"/>
              <w:rPr>
                <w:lang w:eastAsia="de-DE"/>
              </w:rPr>
            </w:pPr>
            <w:r w:rsidRPr="00FD32EC">
              <w:rPr>
                <w:lang w:eastAsia="de-DE"/>
              </w:rPr>
              <w:t>100</w:t>
            </w:r>
            <w:r w:rsidR="000E7665" w:rsidRPr="00FD32EC">
              <w:rPr>
                <w:lang w:eastAsia="de-DE"/>
              </w:rPr>
              <w:t xml:space="preserve"> </w:t>
            </w:r>
            <w:proofErr w:type="spellStart"/>
            <w:r w:rsidR="000E7665" w:rsidRPr="00FD32EC">
              <w:rPr>
                <w:lang w:eastAsia="de-DE"/>
              </w:rPr>
              <w:t>Bq</w:t>
            </w:r>
            <w:proofErr w:type="spellEnd"/>
            <w:r w:rsidR="000E7665" w:rsidRPr="00FD32EC">
              <w:rPr>
                <w:lang w:eastAsia="de-DE"/>
              </w:rPr>
              <w:t>/l</w:t>
            </w:r>
          </w:p>
        </w:tc>
      </w:tr>
      <w:tr w:rsidR="00FD32EC" w:rsidRPr="00FD32EC" w14:paraId="1C4C1B46" w14:textId="77777777" w:rsidTr="000756D7">
        <w:tc>
          <w:tcPr>
            <w:tcW w:w="2625" w:type="dxa"/>
            <w:shd w:val="clear" w:color="auto" w:fill="auto"/>
          </w:tcPr>
          <w:p w14:paraId="57F9D6E2" w14:textId="77777777" w:rsidR="00D32689" w:rsidRPr="00FD32EC" w:rsidRDefault="000756D7" w:rsidP="0054763C">
            <w:pPr>
              <w:spacing w:after="120"/>
              <w:rPr>
                <w:lang w:val="sr-Cyrl-RS" w:eastAsia="de-DE"/>
              </w:rPr>
            </w:pPr>
            <w:r w:rsidRPr="00FD32EC">
              <w:rPr>
                <w:lang w:val="sr-Cyrl-RS" w:eastAsia="de-DE"/>
              </w:rPr>
              <w:t>Инд</w:t>
            </w:r>
            <w:r w:rsidR="00F60A57" w:rsidRPr="00FD32EC">
              <w:rPr>
                <w:lang w:val="sr-Cyrl-RS" w:eastAsia="de-DE"/>
              </w:rPr>
              <w:t xml:space="preserve">икативна </w:t>
            </w:r>
            <w:r w:rsidRPr="00FD32EC">
              <w:rPr>
                <w:lang w:val="sr-Cyrl-RS" w:eastAsia="de-DE"/>
              </w:rPr>
              <w:t>доза</w:t>
            </w:r>
            <w:r w:rsidR="006F2DD4" w:rsidRPr="00FD32EC">
              <w:rPr>
                <w:vertAlign w:val="superscript"/>
                <w:lang w:val="sr-Cyrl-RS" w:eastAsia="de-DE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14:paraId="26B58215" w14:textId="77777777" w:rsidR="00D32689" w:rsidRPr="00FD32EC" w:rsidRDefault="00D32689" w:rsidP="0054763C">
            <w:pPr>
              <w:spacing w:after="120"/>
              <w:jc w:val="center"/>
              <w:rPr>
                <w:lang w:eastAsia="de-DE"/>
              </w:rPr>
            </w:pPr>
            <w:r w:rsidRPr="00FD32EC">
              <w:rPr>
                <w:lang w:eastAsia="de-DE"/>
              </w:rPr>
              <w:t>0,10</w:t>
            </w:r>
            <w:r w:rsidR="000E7665" w:rsidRPr="00FD32EC">
              <w:rPr>
                <w:lang w:eastAsia="de-DE"/>
              </w:rPr>
              <w:t xml:space="preserve"> </w:t>
            </w:r>
            <w:proofErr w:type="spellStart"/>
            <w:r w:rsidR="000E7665" w:rsidRPr="00FD32EC">
              <w:rPr>
                <w:lang w:eastAsia="de-DE"/>
              </w:rPr>
              <w:t>mSv</w:t>
            </w:r>
            <w:proofErr w:type="spellEnd"/>
          </w:p>
        </w:tc>
      </w:tr>
    </w:tbl>
    <w:p w14:paraId="2EBF1663" w14:textId="77777777" w:rsidR="00D32689" w:rsidRPr="00FD32EC" w:rsidRDefault="00D32689" w:rsidP="0054763C">
      <w:pPr>
        <w:spacing w:after="120"/>
        <w:rPr>
          <w:rFonts w:eastAsia="Times New Roman"/>
          <w:lang w:val="sr-Cyrl-RS" w:eastAsia="sr-Latn-RS"/>
        </w:rPr>
      </w:pPr>
    </w:p>
    <w:p w14:paraId="73CA9227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3D55D93B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217B780A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18B8D5AD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05EA109D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7F8C0470" w14:textId="77777777" w:rsidR="0088139C" w:rsidRPr="00FD32EC" w:rsidRDefault="0088139C" w:rsidP="0054763C">
      <w:pPr>
        <w:spacing w:after="120"/>
        <w:rPr>
          <w:rFonts w:eastAsia="Times New Roman"/>
          <w:lang w:val="sr-Cyrl-RS" w:eastAsia="sr-Latn-RS"/>
        </w:rPr>
      </w:pPr>
    </w:p>
    <w:p w14:paraId="39933FBD" w14:textId="77777777" w:rsidR="00E36BDD" w:rsidRPr="00FD32EC" w:rsidRDefault="000756D7" w:rsidP="0054763C">
      <w:pPr>
        <w:spacing w:after="120"/>
        <w:rPr>
          <w:rFonts w:eastAsia="Times New Roman"/>
          <w:sz w:val="22"/>
          <w:szCs w:val="22"/>
          <w:lang w:val="sr-Cyrl-RS" w:eastAsia="sr-Latn-RS"/>
        </w:rPr>
      </w:pPr>
      <w:r w:rsidRPr="00FD32EC">
        <w:rPr>
          <w:rFonts w:eastAsia="Times New Roman"/>
          <w:sz w:val="22"/>
          <w:szCs w:val="22"/>
          <w:lang w:val="sr-Cyrl-RS" w:eastAsia="sr-Latn-RS"/>
        </w:rPr>
        <w:t>Напомен</w:t>
      </w:r>
      <w:r w:rsidR="00063353" w:rsidRPr="00FD32EC">
        <w:rPr>
          <w:rFonts w:eastAsia="Times New Roman"/>
          <w:sz w:val="22"/>
          <w:szCs w:val="22"/>
          <w:lang w:val="sr-Cyrl-RS" w:eastAsia="sr-Latn-RS"/>
        </w:rPr>
        <w:t>е</w:t>
      </w:r>
      <w:r w:rsidRPr="00FD32EC">
        <w:rPr>
          <w:rFonts w:eastAsia="Times New Roman"/>
          <w:sz w:val="22"/>
          <w:szCs w:val="22"/>
          <w:lang w:val="sr-Cyrl-RS" w:eastAsia="sr-Latn-RS"/>
        </w:rPr>
        <w:t>:</w:t>
      </w:r>
    </w:p>
    <w:p w14:paraId="610103A9" w14:textId="77777777" w:rsidR="00C87A5E" w:rsidRPr="00FD32EC" w:rsidRDefault="00C87A5E" w:rsidP="0054763C">
      <w:pPr>
        <w:tabs>
          <w:tab w:val="left" w:pos="426"/>
        </w:tabs>
        <w:spacing w:after="120"/>
        <w:ind w:left="360"/>
        <w:jc w:val="both"/>
        <w:rPr>
          <w:noProof/>
          <w:sz w:val="22"/>
          <w:szCs w:val="22"/>
          <w:lang w:val="sr-Cyrl-RS"/>
        </w:rPr>
      </w:pPr>
    </w:p>
    <w:p w14:paraId="7EF6479A" w14:textId="77777777" w:rsidR="00DF4172" w:rsidRPr="00FD32EC" w:rsidRDefault="00DF4172" w:rsidP="0054763C">
      <w:pPr>
        <w:pStyle w:val="ListParagraph"/>
        <w:numPr>
          <w:ilvl w:val="0"/>
          <w:numId w:val="4"/>
        </w:numPr>
        <w:spacing w:after="120"/>
        <w:rPr>
          <w:noProof/>
          <w:sz w:val="22"/>
          <w:szCs w:val="22"/>
          <w:lang w:val="sr-Cyrl-RS"/>
        </w:rPr>
      </w:pPr>
      <w:r w:rsidRPr="00FD32EC">
        <w:rPr>
          <w:rFonts w:eastAsia="Times New Roman"/>
          <w:sz w:val="22"/>
          <w:szCs w:val="22"/>
          <w:lang w:val="sr-Cyrl-RS" w:eastAsia="sr-Latn-RS"/>
        </w:rPr>
        <w:t xml:space="preserve">а) Садржај радона који не би требало прекорачити, а испод кога треба наставити са оптимизацијом заштите, </w:t>
      </w:r>
      <w:r w:rsidRPr="00FD32EC">
        <w:rPr>
          <w:noProof/>
          <w:sz w:val="22"/>
          <w:szCs w:val="22"/>
          <w:lang w:val="sr-Cyrl-RS"/>
        </w:rPr>
        <w:t>не</w:t>
      </w:r>
      <w:r w:rsidRPr="00FD32EC">
        <w:rPr>
          <w:noProof/>
          <w:sz w:val="22"/>
          <w:szCs w:val="22"/>
          <w:lang w:val="sr-Latn-CS"/>
        </w:rPr>
        <w:t xml:space="preserve"> угрожава</w:t>
      </w:r>
      <w:r w:rsidRPr="00FD32EC">
        <w:rPr>
          <w:noProof/>
          <w:sz w:val="22"/>
          <w:szCs w:val="22"/>
          <w:lang w:val="sr-Cyrl-RS"/>
        </w:rPr>
        <w:t>јући</w:t>
      </w:r>
      <w:r w:rsidRPr="00FD32EC">
        <w:rPr>
          <w:noProof/>
          <w:sz w:val="22"/>
          <w:szCs w:val="22"/>
          <w:lang w:val="sr-Latn-CS"/>
        </w:rPr>
        <w:t xml:space="preserve"> водоснабдевања на националном или регионалном нивоу</w:t>
      </w:r>
    </w:p>
    <w:p w14:paraId="4925DDA6" w14:textId="30A9FD33" w:rsidR="00DF4172" w:rsidRPr="00FD32EC" w:rsidRDefault="00DF4172" w:rsidP="0054763C">
      <w:pPr>
        <w:pStyle w:val="ListParagraph"/>
        <w:tabs>
          <w:tab w:val="left" w:pos="426"/>
        </w:tabs>
        <w:spacing w:after="120"/>
        <w:ind w:left="360"/>
        <w:jc w:val="both"/>
        <w:rPr>
          <w:noProof/>
          <w:sz w:val="22"/>
          <w:szCs w:val="22"/>
          <w:lang w:val="sr-Cyrl-RS"/>
        </w:rPr>
      </w:pPr>
      <w:r w:rsidRPr="00FD32EC">
        <w:rPr>
          <w:noProof/>
          <w:sz w:val="22"/>
          <w:szCs w:val="22"/>
          <w:lang w:val="sr-Cyrl-RS"/>
        </w:rPr>
        <w:t>б) М</w:t>
      </w:r>
      <w:r w:rsidRPr="00FD32EC">
        <w:rPr>
          <w:noProof/>
          <w:sz w:val="22"/>
          <w:szCs w:val="22"/>
          <w:lang w:val="sr-Latn-CS"/>
        </w:rPr>
        <w:t xml:space="preserve">ере </w:t>
      </w:r>
      <w:r w:rsidRPr="00FD32EC">
        <w:rPr>
          <w:noProof/>
          <w:sz w:val="22"/>
          <w:szCs w:val="22"/>
          <w:lang w:val="sr-Cyrl-RS"/>
        </w:rPr>
        <w:t xml:space="preserve">санације </w:t>
      </w:r>
      <w:r w:rsidRPr="00FD32EC">
        <w:rPr>
          <w:noProof/>
          <w:sz w:val="22"/>
          <w:szCs w:val="22"/>
          <w:lang w:val="sr-Latn-CS"/>
        </w:rPr>
        <w:t>сматрају се</w:t>
      </w:r>
      <w:r w:rsidR="001976D2" w:rsidRPr="00FD32EC">
        <w:rPr>
          <w:noProof/>
          <w:sz w:val="22"/>
          <w:szCs w:val="22"/>
          <w:lang w:val="sr-Cyrl-RS"/>
        </w:rPr>
        <w:t xml:space="preserve">, </w:t>
      </w:r>
      <w:r w:rsidR="001976D2" w:rsidRPr="00FD32EC">
        <w:rPr>
          <w:noProof/>
          <w:sz w:val="22"/>
          <w:szCs w:val="22"/>
          <w:lang w:val="sr-Latn-CS"/>
        </w:rPr>
        <w:t>без даљег разматрања</w:t>
      </w:r>
      <w:r w:rsidR="001976D2" w:rsidRPr="00FD32EC">
        <w:rPr>
          <w:noProof/>
          <w:sz w:val="22"/>
          <w:szCs w:val="22"/>
          <w:lang w:val="sr-Cyrl-RS"/>
        </w:rPr>
        <w:t>,</w:t>
      </w:r>
      <w:r w:rsidRPr="00FD32EC">
        <w:rPr>
          <w:noProof/>
          <w:sz w:val="22"/>
          <w:szCs w:val="22"/>
          <w:lang w:val="sr-Latn-CS"/>
        </w:rPr>
        <w:t xml:space="preserve"> оправданим </w:t>
      </w:r>
      <w:r w:rsidR="001976D2" w:rsidRPr="00FD32EC">
        <w:rPr>
          <w:noProof/>
          <w:sz w:val="22"/>
          <w:szCs w:val="22"/>
          <w:lang w:val="sr-Cyrl-RS"/>
        </w:rPr>
        <w:t>са становишта</w:t>
      </w:r>
      <w:r w:rsidRPr="00FD32EC">
        <w:rPr>
          <w:noProof/>
          <w:sz w:val="22"/>
          <w:szCs w:val="22"/>
          <w:lang w:val="sr-Latn-CS"/>
        </w:rPr>
        <w:t xml:space="preserve"> заштите</w:t>
      </w:r>
      <w:r w:rsidR="001976D2" w:rsidRPr="00FD32EC">
        <w:rPr>
          <w:noProof/>
          <w:sz w:val="22"/>
          <w:szCs w:val="22"/>
          <w:lang w:val="sr-Cyrl-RS"/>
        </w:rPr>
        <w:t xml:space="preserve"> од јонизујућег зрачења</w:t>
      </w:r>
      <w:r w:rsidRPr="00FD32EC">
        <w:rPr>
          <w:noProof/>
          <w:sz w:val="22"/>
          <w:szCs w:val="22"/>
          <w:lang w:val="sr-Latn-CS"/>
        </w:rPr>
        <w:t xml:space="preserve">, </w:t>
      </w:r>
      <w:r w:rsidRPr="00FD32EC">
        <w:rPr>
          <w:noProof/>
          <w:sz w:val="22"/>
          <w:szCs w:val="22"/>
          <w:lang w:val="sr-Cyrl-RS"/>
        </w:rPr>
        <w:t>ако</w:t>
      </w:r>
      <w:r w:rsidRPr="00FD32EC">
        <w:rPr>
          <w:noProof/>
          <w:sz w:val="22"/>
          <w:szCs w:val="22"/>
          <w:lang w:val="sr-Latn-CS"/>
        </w:rPr>
        <w:t xml:space="preserve"> концентрације радона прелазе 1000 Bq/l.</w:t>
      </w:r>
    </w:p>
    <w:p w14:paraId="4CB50923" w14:textId="77777777" w:rsidR="001B0B13" w:rsidRPr="00FD32EC" w:rsidRDefault="001B0B13" w:rsidP="0054763C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jc w:val="both"/>
        <w:rPr>
          <w:noProof/>
          <w:sz w:val="22"/>
          <w:szCs w:val="22"/>
          <w:lang w:val="sr-Cyrl-RS"/>
        </w:rPr>
      </w:pPr>
      <w:r w:rsidRPr="00FD32EC">
        <w:rPr>
          <w:noProof/>
          <w:sz w:val="22"/>
          <w:szCs w:val="22"/>
          <w:lang w:val="sr-Latn-CS"/>
        </w:rPr>
        <w:t>Повишени нивои трицијума могу указати на присуство других вештачких радионуклида.</w:t>
      </w:r>
      <w:r w:rsidR="000E7665" w:rsidRPr="00FD32EC">
        <w:rPr>
          <w:noProof/>
          <w:sz w:val="22"/>
          <w:szCs w:val="22"/>
          <w:lang w:val="sr-Latn-CS"/>
        </w:rPr>
        <w:t xml:space="preserve"> </w:t>
      </w:r>
      <w:r w:rsidRPr="00FD32EC">
        <w:rPr>
          <w:noProof/>
          <w:sz w:val="22"/>
          <w:szCs w:val="22"/>
          <w:lang w:val="sr-Latn-CS"/>
        </w:rPr>
        <w:t>Ако концентрација трицијума прелази параметарску вредност, треба извршити анализу присуств</w:t>
      </w:r>
      <w:r w:rsidR="00AF6B99" w:rsidRPr="00FD32EC">
        <w:rPr>
          <w:noProof/>
          <w:sz w:val="22"/>
          <w:szCs w:val="22"/>
          <w:lang w:val="sr-Latn-CS"/>
        </w:rPr>
        <w:t>а других вештачких радионуклида</w:t>
      </w:r>
      <w:r w:rsidR="00AF6B99" w:rsidRPr="00FD32EC">
        <w:rPr>
          <w:noProof/>
          <w:sz w:val="22"/>
          <w:szCs w:val="22"/>
          <w:lang w:val="sr-Cyrl-RS"/>
        </w:rPr>
        <w:t>.</w:t>
      </w:r>
    </w:p>
    <w:p w14:paraId="582C69C4" w14:textId="77777777" w:rsidR="006F2DD4" w:rsidRPr="00FD32EC" w:rsidRDefault="006F2DD4" w:rsidP="0054763C">
      <w:pPr>
        <w:pStyle w:val="ListParagraph"/>
        <w:numPr>
          <w:ilvl w:val="0"/>
          <w:numId w:val="4"/>
        </w:numPr>
        <w:spacing w:after="120"/>
        <w:jc w:val="both"/>
        <w:rPr>
          <w:rFonts w:eastAsia="Times New Roman"/>
          <w:sz w:val="22"/>
          <w:szCs w:val="22"/>
          <w:lang w:eastAsia="sr-Latn-RS"/>
        </w:rPr>
      </w:pPr>
      <w:proofErr w:type="spellStart"/>
      <w:r w:rsidRPr="00FD32EC">
        <w:rPr>
          <w:rFonts w:eastAsia="Times New Roman"/>
          <w:sz w:val="22"/>
          <w:szCs w:val="22"/>
          <w:lang w:eastAsia="sr-Latn-RS"/>
        </w:rPr>
        <w:t>Допринос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ефективној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дози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који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потиче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од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уноса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трицијума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3</w:t>
      </w:r>
      <w:r w:rsidRPr="00FD32EC">
        <w:rPr>
          <w:rFonts w:eastAsia="Times New Roman"/>
          <w:sz w:val="22"/>
          <w:szCs w:val="22"/>
          <w:lang w:eastAsia="sr-Latn-RS"/>
        </w:rPr>
        <w:t xml:space="preserve">H,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калијума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40</w:t>
      </w:r>
      <w:r w:rsidRPr="00FD32EC">
        <w:rPr>
          <w:rFonts w:eastAsia="Times New Roman"/>
          <w:sz w:val="22"/>
          <w:szCs w:val="22"/>
          <w:lang w:eastAsia="sr-Latn-RS"/>
        </w:rPr>
        <w:t xml:space="preserve">К,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радона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222</w:t>
      </w:r>
      <w:r w:rsidRPr="00FD32EC">
        <w:rPr>
          <w:rFonts w:eastAsia="Times New Roman"/>
          <w:sz w:val="22"/>
          <w:szCs w:val="22"/>
          <w:lang w:eastAsia="sr-Latn-RS"/>
        </w:rPr>
        <w:t xml:space="preserve">Rn, и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торона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220</w:t>
      </w:r>
      <w:r w:rsidRPr="00FD32EC">
        <w:rPr>
          <w:rFonts w:eastAsia="Times New Roman"/>
          <w:sz w:val="22"/>
          <w:szCs w:val="22"/>
          <w:lang w:eastAsia="sr-Latn-RS"/>
        </w:rPr>
        <w:t xml:space="preserve">Rn и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радонових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потомака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водом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lang w:val="sr-Cyrl-RS" w:eastAsia="sr-Latn-RS"/>
        </w:rPr>
        <w:t>намењеном за људску потрошњу</w:t>
      </w:r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није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урачунат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у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граничну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вредност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ефективне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дозе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од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0,1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mSv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>/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год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. </w:t>
      </w:r>
    </w:p>
    <w:p w14:paraId="3AE26D2E" w14:textId="77777777" w:rsidR="006F2DD4" w:rsidRPr="00FD32EC" w:rsidRDefault="006F2DD4" w:rsidP="0054763C">
      <w:pPr>
        <w:pStyle w:val="ListParagraph"/>
        <w:tabs>
          <w:tab w:val="left" w:pos="426"/>
        </w:tabs>
        <w:spacing w:after="120"/>
        <w:ind w:left="360"/>
        <w:jc w:val="both"/>
        <w:rPr>
          <w:noProof/>
          <w:lang w:val="sr-Cyrl-RS"/>
        </w:rPr>
      </w:pPr>
    </w:p>
    <w:p w14:paraId="1B83438C" w14:textId="77777777" w:rsidR="00AF6B99" w:rsidRPr="00FD32EC" w:rsidRDefault="00AF6B99" w:rsidP="0054763C">
      <w:pPr>
        <w:tabs>
          <w:tab w:val="left" w:pos="426"/>
        </w:tabs>
        <w:spacing w:after="120"/>
        <w:jc w:val="both"/>
        <w:rPr>
          <w:lang w:val="sr-Cyrl-RS"/>
        </w:rPr>
      </w:pPr>
    </w:p>
    <w:p w14:paraId="15C3106D" w14:textId="77777777" w:rsidR="00063353" w:rsidRPr="00FD32EC" w:rsidRDefault="00063353" w:rsidP="0054763C">
      <w:pPr>
        <w:spacing w:after="120"/>
        <w:jc w:val="both"/>
        <w:rPr>
          <w:lang w:val="sr-Latn-CS"/>
        </w:rPr>
      </w:pPr>
      <w:r w:rsidRPr="00FD32EC">
        <w:rPr>
          <w:b/>
          <w:lang w:val="sr-Cyrl-RS"/>
        </w:rPr>
        <w:t>2</w:t>
      </w:r>
      <w:r w:rsidRPr="00FD32EC">
        <w:rPr>
          <w:lang w:val="sr-Cyrl-RS"/>
        </w:rPr>
        <w:t xml:space="preserve">. </w:t>
      </w:r>
      <w:r w:rsidR="001C2C97" w:rsidRPr="00FD32EC">
        <w:rPr>
          <w:b/>
          <w:lang w:val="sr-Cyrl-RS"/>
        </w:rPr>
        <w:t xml:space="preserve">Мерења </w:t>
      </w:r>
      <w:r w:rsidRPr="00FD32EC">
        <w:rPr>
          <w:b/>
          <w:noProof/>
          <w:lang w:val="sr-Latn-CS"/>
        </w:rPr>
        <w:t xml:space="preserve">ради </w:t>
      </w:r>
      <w:r w:rsidR="00C661DA" w:rsidRPr="00FD32EC">
        <w:rPr>
          <w:b/>
          <w:noProof/>
          <w:lang w:val="sr-Cyrl-RS"/>
        </w:rPr>
        <w:t xml:space="preserve">процене </w:t>
      </w:r>
      <w:r w:rsidRPr="00FD32EC">
        <w:rPr>
          <w:b/>
          <w:noProof/>
          <w:lang w:val="sr-Latn-CS"/>
        </w:rPr>
        <w:t>усклађ</w:t>
      </w:r>
      <w:r w:rsidR="00C661DA" w:rsidRPr="00FD32EC">
        <w:rPr>
          <w:b/>
          <w:noProof/>
          <w:lang w:val="sr-Cyrl-RS"/>
        </w:rPr>
        <w:t>ености</w:t>
      </w:r>
      <w:r w:rsidRPr="00FD32EC">
        <w:rPr>
          <w:b/>
          <w:noProof/>
          <w:lang w:val="sr-Latn-CS"/>
        </w:rPr>
        <w:t xml:space="preserve"> с</w:t>
      </w:r>
      <w:r w:rsidR="00C661DA" w:rsidRPr="00FD32EC">
        <w:rPr>
          <w:b/>
          <w:noProof/>
          <w:lang w:val="sr-Cyrl-RS"/>
        </w:rPr>
        <w:t>а</w:t>
      </w:r>
      <w:r w:rsidRPr="00FD32EC">
        <w:rPr>
          <w:b/>
          <w:noProof/>
          <w:lang w:val="sr-Latn-CS"/>
        </w:rPr>
        <w:t xml:space="preserve"> индикативном дозом</w:t>
      </w:r>
    </w:p>
    <w:p w14:paraId="7759F2C5" w14:textId="77777777" w:rsidR="00063353" w:rsidRPr="00FD32EC" w:rsidRDefault="001C2C97" w:rsidP="0054763C">
      <w:pPr>
        <w:spacing w:after="120"/>
        <w:jc w:val="both"/>
        <w:rPr>
          <w:noProof/>
          <w:lang w:val="sr-Cyrl-RS"/>
        </w:rPr>
      </w:pPr>
      <w:r w:rsidRPr="00FD32EC">
        <w:rPr>
          <w:noProof/>
          <w:lang w:val="sr-Cyrl-RS"/>
        </w:rPr>
        <w:t>П</w:t>
      </w:r>
      <w:r w:rsidRPr="00FD32EC">
        <w:rPr>
          <w:noProof/>
          <w:lang w:val="sr-Latn-CS"/>
        </w:rPr>
        <w:t>роцен</w:t>
      </w:r>
      <w:r w:rsidRPr="00FD32EC">
        <w:rPr>
          <w:noProof/>
          <w:lang w:val="sr-Cyrl-RS"/>
        </w:rPr>
        <w:t>а</w:t>
      </w:r>
      <w:r w:rsidR="00C661DA" w:rsidRPr="00FD32EC">
        <w:rPr>
          <w:noProof/>
          <w:lang w:val="sr-Latn-CS"/>
        </w:rPr>
        <w:t xml:space="preserve"> усклађености са</w:t>
      </w:r>
      <w:r w:rsidR="00063353" w:rsidRPr="00FD32EC">
        <w:rPr>
          <w:noProof/>
          <w:lang w:val="sr-Latn-CS"/>
        </w:rPr>
        <w:t xml:space="preserve"> индикативном дозом</w:t>
      </w:r>
      <w:r w:rsidR="00063353" w:rsidRPr="00FD32EC">
        <w:rPr>
          <w:noProof/>
          <w:lang w:val="sr-Cyrl-RS"/>
        </w:rPr>
        <w:t xml:space="preserve"> се врши мерењем укупне алфа и укупне бета активности.</w:t>
      </w:r>
    </w:p>
    <w:p w14:paraId="50C37337" w14:textId="61375389" w:rsidR="00C96EA9" w:rsidRPr="00FD32EC" w:rsidRDefault="00063353" w:rsidP="0054763C">
      <w:pPr>
        <w:spacing w:after="120"/>
        <w:jc w:val="both"/>
        <w:rPr>
          <w:lang w:val="sr-Cyrl-RS"/>
        </w:rPr>
      </w:pPr>
      <w:r w:rsidRPr="00FD32EC">
        <w:rPr>
          <w:noProof/>
          <w:lang w:val="sr-Cyrl-RS"/>
        </w:rPr>
        <w:t xml:space="preserve">Ако су укупна алфа активност или укупна бета активност мање од </w:t>
      </w:r>
      <w:r w:rsidRPr="00FD32EC">
        <w:t xml:space="preserve">0,1 </w:t>
      </w:r>
      <w:proofErr w:type="spellStart"/>
      <w:r w:rsidRPr="00FD32EC">
        <w:t>Bq</w:t>
      </w:r>
      <w:proofErr w:type="spellEnd"/>
      <w:r w:rsidRPr="00FD32EC">
        <w:t xml:space="preserve">/l </w:t>
      </w:r>
      <w:r w:rsidR="00341DFE" w:rsidRPr="00FD32EC">
        <w:rPr>
          <w:lang w:val="sr-Cyrl-RS"/>
        </w:rPr>
        <w:t>и</w:t>
      </w:r>
      <w:r w:rsidRPr="00FD32EC">
        <w:t xml:space="preserve"> 1,0 </w:t>
      </w:r>
      <w:proofErr w:type="spellStart"/>
      <w:r w:rsidRPr="00FD32EC">
        <w:t>Bq</w:t>
      </w:r>
      <w:proofErr w:type="spellEnd"/>
      <w:r w:rsidRPr="00FD32EC">
        <w:t>/l</w:t>
      </w:r>
      <w:r w:rsidR="00370F08" w:rsidRPr="00FD32EC">
        <w:rPr>
          <w:lang w:val="sr-Cyrl-RS"/>
        </w:rPr>
        <w:t>,</w:t>
      </w:r>
      <w:r w:rsidR="00341DFE" w:rsidRPr="00FD32EC">
        <w:rPr>
          <w:lang w:val="sr-Cyrl-RS"/>
        </w:rPr>
        <w:t xml:space="preserve"> ре</w:t>
      </w:r>
      <w:r w:rsidR="00370F08" w:rsidRPr="00FD32EC">
        <w:rPr>
          <w:lang w:val="sr-Cyrl-RS"/>
        </w:rPr>
        <w:t>спективно</w:t>
      </w:r>
      <w:r w:rsidR="00341DFE" w:rsidRPr="00FD32EC">
        <w:rPr>
          <w:lang w:val="sr-Cyrl-RS"/>
        </w:rPr>
        <w:t xml:space="preserve">, претпоставља се да је индикативна доза мања од параметарске вредности </w:t>
      </w:r>
      <w:r w:rsidR="00341DFE" w:rsidRPr="00FD32EC">
        <w:t xml:space="preserve">0,1 </w:t>
      </w:r>
      <w:proofErr w:type="spellStart"/>
      <w:r w:rsidR="00341DFE" w:rsidRPr="00FD32EC">
        <w:t>mSv</w:t>
      </w:r>
      <w:proofErr w:type="spellEnd"/>
      <w:r w:rsidR="00341DFE" w:rsidRPr="00FD32EC">
        <w:rPr>
          <w:lang w:val="sr-Cyrl-RS"/>
        </w:rPr>
        <w:t xml:space="preserve"> и </w:t>
      </w:r>
      <w:r w:rsidR="00875C05" w:rsidRPr="00FD32EC">
        <w:rPr>
          <w:lang w:val="sr-Cyrl-RS"/>
        </w:rPr>
        <w:t xml:space="preserve">да </w:t>
      </w:r>
      <w:r w:rsidR="00341DFE" w:rsidRPr="00FD32EC">
        <w:rPr>
          <w:lang w:val="sr-Cyrl-RS"/>
        </w:rPr>
        <w:t xml:space="preserve">нису потребна даља </w:t>
      </w:r>
      <w:proofErr w:type="spellStart"/>
      <w:r w:rsidR="00341DFE" w:rsidRPr="00FD32EC">
        <w:rPr>
          <w:lang w:val="sr-Cyrl-RS"/>
        </w:rPr>
        <w:t>радиолошка</w:t>
      </w:r>
      <w:proofErr w:type="spellEnd"/>
      <w:r w:rsidR="00341DFE" w:rsidRPr="00FD32EC">
        <w:rPr>
          <w:lang w:val="sr-Cyrl-RS"/>
        </w:rPr>
        <w:t xml:space="preserve"> испитивања</w:t>
      </w:r>
      <w:r w:rsidR="00BA0521" w:rsidRPr="00FD32EC">
        <w:t>,</w:t>
      </w:r>
      <w:r w:rsidR="00341DFE" w:rsidRPr="00FD32EC">
        <w:rPr>
          <w:lang w:val="sr-Cyrl-RS"/>
        </w:rPr>
        <w:t xml:space="preserve"> осим ако на основу других извора информација </w:t>
      </w:r>
      <w:r w:rsidR="00214448" w:rsidRPr="00FD32EC">
        <w:rPr>
          <w:lang w:val="sr-Cyrl-RS"/>
        </w:rPr>
        <w:t xml:space="preserve">не постоје сазнања о </w:t>
      </w:r>
      <w:r w:rsidR="00341DFE" w:rsidRPr="00FD32EC">
        <w:rPr>
          <w:lang w:val="sr-Cyrl-RS"/>
        </w:rPr>
        <w:t>прису</w:t>
      </w:r>
      <w:r w:rsidR="00214448" w:rsidRPr="00FD32EC">
        <w:rPr>
          <w:lang w:val="sr-Cyrl-RS"/>
        </w:rPr>
        <w:t>ству</w:t>
      </w:r>
      <w:r w:rsidR="00341DFE" w:rsidRPr="00FD32EC">
        <w:rPr>
          <w:lang w:val="sr-Cyrl-RS"/>
        </w:rPr>
        <w:t xml:space="preserve"> радионуклида </w:t>
      </w:r>
      <w:r w:rsidR="00A67D14" w:rsidRPr="00FD32EC">
        <w:rPr>
          <w:lang w:val="sr-Cyrl-RS"/>
        </w:rPr>
        <w:t xml:space="preserve">због којих </w:t>
      </w:r>
      <w:r w:rsidR="00341DFE" w:rsidRPr="00FD32EC">
        <w:rPr>
          <w:lang w:val="sr-Cyrl-RS"/>
        </w:rPr>
        <w:t xml:space="preserve">вредности </w:t>
      </w:r>
      <w:r w:rsidR="001976D2" w:rsidRPr="00FD32EC">
        <w:rPr>
          <w:lang w:val="sr-Cyrl-RS"/>
        </w:rPr>
        <w:t xml:space="preserve">индикативне дозе </w:t>
      </w:r>
      <w:r w:rsidR="00A67D14" w:rsidRPr="00FD32EC">
        <w:rPr>
          <w:lang w:val="sr-Cyrl-RS"/>
        </w:rPr>
        <w:t xml:space="preserve">могу бити </w:t>
      </w:r>
      <w:r w:rsidR="00341DFE" w:rsidRPr="00FD32EC">
        <w:rPr>
          <w:lang w:val="sr-Cyrl-RS"/>
        </w:rPr>
        <w:t>већ</w:t>
      </w:r>
      <w:r w:rsidR="00A67D14" w:rsidRPr="00FD32EC">
        <w:rPr>
          <w:lang w:val="sr-Cyrl-RS"/>
        </w:rPr>
        <w:t>е</w:t>
      </w:r>
      <w:r w:rsidR="00C96EA9" w:rsidRPr="00FD32EC">
        <w:rPr>
          <w:lang w:val="sr-Cyrl-RS"/>
        </w:rPr>
        <w:t xml:space="preserve"> од </w:t>
      </w:r>
      <w:r w:rsidR="00C96EA9" w:rsidRPr="00FD32EC">
        <w:t xml:space="preserve">0,1 </w:t>
      </w:r>
      <w:proofErr w:type="spellStart"/>
      <w:r w:rsidR="00C96EA9" w:rsidRPr="00FD32EC">
        <w:t>mSv</w:t>
      </w:r>
      <w:proofErr w:type="spellEnd"/>
      <w:r w:rsidR="00341DFE" w:rsidRPr="00FD32EC">
        <w:rPr>
          <w:lang w:val="sr-Cyrl-RS"/>
        </w:rPr>
        <w:t>.</w:t>
      </w:r>
    </w:p>
    <w:p w14:paraId="7527E45C" w14:textId="77777777" w:rsidR="00C96EA9" w:rsidRPr="00FD32EC" w:rsidRDefault="00C96EA9" w:rsidP="0054763C">
      <w:pPr>
        <w:spacing w:after="120"/>
        <w:jc w:val="both"/>
        <w:rPr>
          <w:lang w:val="sr-Cyrl-RS"/>
        </w:rPr>
      </w:pPr>
      <w:r w:rsidRPr="00FD32EC">
        <w:rPr>
          <w:noProof/>
          <w:lang w:val="sr-Cyrl-RS"/>
        </w:rPr>
        <w:t xml:space="preserve">Ако је укупна алфа активност већа од </w:t>
      </w:r>
      <w:r w:rsidRPr="00FD32EC">
        <w:t xml:space="preserve">0,1 </w:t>
      </w:r>
      <w:proofErr w:type="spellStart"/>
      <w:r w:rsidRPr="00FD32EC">
        <w:t>Bq</w:t>
      </w:r>
      <w:proofErr w:type="spellEnd"/>
      <w:r w:rsidRPr="00FD32EC">
        <w:t xml:space="preserve">/l </w:t>
      </w:r>
      <w:r w:rsidRPr="00FD32EC">
        <w:rPr>
          <w:noProof/>
          <w:lang w:val="sr-Cyrl-RS"/>
        </w:rPr>
        <w:t xml:space="preserve">или је укупна бета активност већа од </w:t>
      </w:r>
      <w:r w:rsidRPr="00FD32EC">
        <w:t xml:space="preserve">1,0 </w:t>
      </w:r>
      <w:proofErr w:type="spellStart"/>
      <w:r w:rsidRPr="00FD32EC">
        <w:t>Bq</w:t>
      </w:r>
      <w:proofErr w:type="spellEnd"/>
      <w:r w:rsidRPr="00FD32EC">
        <w:t>/l</w:t>
      </w:r>
      <w:r w:rsidRPr="00FD32EC">
        <w:rPr>
          <w:lang w:val="sr-Cyrl-RS"/>
        </w:rPr>
        <w:t>, потребна је анализа појединачних радионуклида.</w:t>
      </w:r>
    </w:p>
    <w:p w14:paraId="1670A665" w14:textId="77777777" w:rsidR="00B470CF" w:rsidRPr="00FD32EC" w:rsidRDefault="00C96EA9" w:rsidP="0054763C">
      <w:pPr>
        <w:spacing w:after="120"/>
        <w:jc w:val="both"/>
      </w:pPr>
      <w:r w:rsidRPr="00FD32EC">
        <w:rPr>
          <w:lang w:val="sr-Cyrl-RS"/>
        </w:rPr>
        <w:t xml:space="preserve">Ако </w:t>
      </w:r>
      <w:r w:rsidR="00894CFA" w:rsidRPr="00FD32EC">
        <w:rPr>
          <w:lang w:val="sr-Cyrl-RS"/>
        </w:rPr>
        <w:t>су</w:t>
      </w:r>
      <w:r w:rsidRPr="00FD32EC">
        <w:rPr>
          <w:lang w:val="sr-Cyrl-RS"/>
        </w:rPr>
        <w:t xml:space="preserve"> </w:t>
      </w:r>
      <w:r w:rsidR="00370F08" w:rsidRPr="00FD32EC">
        <w:rPr>
          <w:lang w:val="sr-Cyrl-RS"/>
        </w:rPr>
        <w:t xml:space="preserve">доступни </w:t>
      </w:r>
      <w:r w:rsidR="00894CFA" w:rsidRPr="00FD32EC">
        <w:rPr>
          <w:lang w:val="sr-Cyrl-RS"/>
        </w:rPr>
        <w:t xml:space="preserve">резултати </w:t>
      </w:r>
      <w:r w:rsidR="00F52960" w:rsidRPr="00FD32EC">
        <w:rPr>
          <w:lang w:val="sr-Cyrl-RS"/>
        </w:rPr>
        <w:t>испитивања</w:t>
      </w:r>
      <w:r w:rsidR="00370F08" w:rsidRPr="00FD32EC">
        <w:rPr>
          <w:lang w:val="sr-Cyrl-RS"/>
        </w:rPr>
        <w:t xml:space="preserve"> </w:t>
      </w:r>
      <w:r w:rsidR="009139A7" w:rsidRPr="00FD32EC">
        <w:rPr>
          <w:lang w:val="sr-Cyrl-RS"/>
        </w:rPr>
        <w:t xml:space="preserve"> </w:t>
      </w:r>
      <w:r w:rsidRPr="00FD32EC">
        <w:rPr>
          <w:lang w:val="sr-Cyrl-RS"/>
        </w:rPr>
        <w:t>појединачних радионуклида</w:t>
      </w:r>
      <w:r w:rsidR="00894CFA" w:rsidRPr="00FD32EC">
        <w:rPr>
          <w:lang w:val="sr-Cyrl-RS"/>
        </w:rPr>
        <w:t xml:space="preserve"> у води </w:t>
      </w:r>
      <w:r w:rsidR="00856583" w:rsidRPr="00FD32EC">
        <w:rPr>
          <w:lang w:val="sr-Cyrl-RS"/>
        </w:rPr>
        <w:t>за пиће</w:t>
      </w:r>
      <w:r w:rsidR="00894CFA" w:rsidRPr="00FD32EC">
        <w:rPr>
          <w:lang w:val="sr-Cyrl-RS"/>
        </w:rPr>
        <w:t xml:space="preserve"> и ако њихове концентрације прелазе 20% одговарајуће вредности изведен</w:t>
      </w:r>
      <w:r w:rsidR="00DB1665" w:rsidRPr="00FD32EC">
        <w:rPr>
          <w:lang w:val="sr-Cyrl-RS"/>
        </w:rPr>
        <w:t>их</w:t>
      </w:r>
      <w:r w:rsidR="00894CFA" w:rsidRPr="00FD32EC">
        <w:rPr>
          <w:lang w:val="sr-Cyrl-RS"/>
        </w:rPr>
        <w:t xml:space="preserve"> концентрациј</w:t>
      </w:r>
      <w:r w:rsidR="00DB1665" w:rsidRPr="00FD32EC">
        <w:rPr>
          <w:lang w:val="sr-Cyrl-RS"/>
        </w:rPr>
        <w:t xml:space="preserve">а или садржај </w:t>
      </w:r>
      <w:proofErr w:type="spellStart"/>
      <w:r w:rsidR="00DB1665" w:rsidRPr="00FD32EC">
        <w:rPr>
          <w:lang w:val="sr-Cyrl-RS"/>
        </w:rPr>
        <w:t>трицијума</w:t>
      </w:r>
      <w:proofErr w:type="spellEnd"/>
      <w:r w:rsidR="00DB1665" w:rsidRPr="00FD32EC">
        <w:rPr>
          <w:lang w:val="sr-Cyrl-RS"/>
        </w:rPr>
        <w:t xml:space="preserve"> прелази параметарску вредност из табеле</w:t>
      </w:r>
      <w:r w:rsidR="00BA0521" w:rsidRPr="00FD32EC">
        <w:t xml:space="preserve"> 1</w:t>
      </w:r>
      <w:r w:rsidR="00DB1665" w:rsidRPr="00FD32EC">
        <w:rPr>
          <w:lang w:val="sr-Cyrl-RS"/>
        </w:rPr>
        <w:t xml:space="preserve"> прилога</w:t>
      </w:r>
      <w:r w:rsidR="00BA0521" w:rsidRPr="00FD32EC">
        <w:t xml:space="preserve"> I</w:t>
      </w:r>
      <w:r w:rsidR="00DB1665" w:rsidRPr="00FD32EC">
        <w:rPr>
          <w:lang w:val="sr-Cyrl-RS"/>
        </w:rPr>
        <w:t xml:space="preserve">, тада се врши </w:t>
      </w:r>
      <w:r w:rsidR="00BA0521" w:rsidRPr="00FD32EC">
        <w:rPr>
          <w:lang w:val="sr-Cyrl-RS"/>
        </w:rPr>
        <w:t xml:space="preserve">додатна </w:t>
      </w:r>
      <w:r w:rsidR="00DB1665" w:rsidRPr="00FD32EC">
        <w:rPr>
          <w:lang w:val="sr-Cyrl-RS"/>
        </w:rPr>
        <w:t>анализа садржаја радионуклида.</w:t>
      </w:r>
    </w:p>
    <w:p w14:paraId="7AAC25AA" w14:textId="228CABE7" w:rsidR="00063353" w:rsidRPr="00FD32EC" w:rsidRDefault="00DB1665" w:rsidP="0054763C">
      <w:pPr>
        <w:spacing w:after="120"/>
        <w:jc w:val="both"/>
        <w:rPr>
          <w:lang w:val="sr-Cyrl-RS"/>
        </w:rPr>
      </w:pPr>
      <w:proofErr w:type="spellStart"/>
      <w:r w:rsidRPr="00FD32EC">
        <w:rPr>
          <w:lang w:val="sr-Cyrl-RS"/>
        </w:rPr>
        <w:t>Радионуклиде</w:t>
      </w:r>
      <w:proofErr w:type="spellEnd"/>
      <w:r w:rsidRPr="00FD32EC">
        <w:rPr>
          <w:lang w:val="sr-Cyrl-RS"/>
        </w:rPr>
        <w:t xml:space="preserve"> који се одређују прописује </w:t>
      </w:r>
      <w:r w:rsidR="00A67D14" w:rsidRPr="00FD32EC">
        <w:rPr>
          <w:lang w:val="sr-Cyrl-RS"/>
        </w:rPr>
        <w:t xml:space="preserve">Директорат </w:t>
      </w:r>
      <w:r w:rsidRPr="00FD32EC">
        <w:rPr>
          <w:lang w:val="sr-Cyrl-RS"/>
        </w:rPr>
        <w:t>узимајући у обзир све релевантне информације о могућим изворима и порекл</w:t>
      </w:r>
      <w:r w:rsidR="00370F08" w:rsidRPr="00FD32EC">
        <w:rPr>
          <w:lang w:val="sr-Cyrl-RS"/>
        </w:rPr>
        <w:t>у</w:t>
      </w:r>
      <w:r w:rsidRPr="00FD32EC">
        <w:rPr>
          <w:lang w:val="sr-Cyrl-RS"/>
        </w:rPr>
        <w:t xml:space="preserve"> радиоактивности.</w:t>
      </w:r>
      <w:r w:rsidR="00063353" w:rsidRPr="00FD32EC">
        <w:rPr>
          <w:rStyle w:val="tw4winMark"/>
          <w:noProof/>
          <w:color w:val="auto"/>
          <w:lang w:val="sr-Latn-CS"/>
        </w:rPr>
        <w:t xml:space="preserve"> </w:t>
      </w:r>
    </w:p>
    <w:p w14:paraId="392DD4B5" w14:textId="77777777" w:rsidR="001B0B13" w:rsidRPr="00FD32EC" w:rsidRDefault="001B0B13" w:rsidP="0054763C">
      <w:pPr>
        <w:autoSpaceDE w:val="0"/>
        <w:autoSpaceDN w:val="0"/>
        <w:adjustRightInd w:val="0"/>
        <w:spacing w:after="120"/>
        <w:jc w:val="both"/>
        <w:rPr>
          <w:lang w:val="sr-Latn-CS"/>
        </w:rPr>
      </w:pPr>
    </w:p>
    <w:p w14:paraId="2E45F79A" w14:textId="77777777" w:rsidR="00D15274" w:rsidRPr="00FD32EC" w:rsidRDefault="00D15274" w:rsidP="0054763C">
      <w:p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>3. Израчунавање индикативне дозе</w:t>
      </w:r>
    </w:p>
    <w:p w14:paraId="4D388C3C" w14:textId="77777777" w:rsidR="00D15274" w:rsidRPr="00FD32EC" w:rsidRDefault="00D15274" w:rsidP="0054763C">
      <w:pPr>
        <w:spacing w:after="120"/>
        <w:rPr>
          <w:rFonts w:eastAsia="Times New Roman"/>
          <w:b/>
          <w:lang w:val="sr-Cyrl-RS" w:eastAsia="sr-Latn-RS"/>
        </w:rPr>
      </w:pPr>
    </w:p>
    <w:p w14:paraId="0D68C9F8" w14:textId="653372F1" w:rsidR="00D15274" w:rsidRPr="00FD32EC" w:rsidRDefault="00D15274" w:rsidP="0054763C">
      <w:pPr>
        <w:spacing w:after="120"/>
        <w:jc w:val="both"/>
        <w:rPr>
          <w:lang w:val="sr-Cyrl-RS"/>
        </w:rPr>
      </w:pPr>
      <w:r w:rsidRPr="00FD32EC">
        <w:rPr>
          <w:rFonts w:eastAsia="Times New Roman"/>
          <w:lang w:val="sr-Cyrl-RS" w:eastAsia="sr-Latn-RS"/>
        </w:rPr>
        <w:t xml:space="preserve">Индикативна доза се израчунава из измерених вредности садржаја радионуклида и </w:t>
      </w:r>
      <w:proofErr w:type="spellStart"/>
      <w:r w:rsidRPr="00FD32EC">
        <w:rPr>
          <w:rFonts w:eastAsia="Times New Roman"/>
          <w:lang w:val="sr-Cyrl-RS" w:eastAsia="sr-Latn-RS"/>
        </w:rPr>
        <w:t>дозн</w:t>
      </w:r>
      <w:r w:rsidR="0009255D" w:rsidRPr="00FD32EC">
        <w:rPr>
          <w:rFonts w:eastAsia="Times New Roman"/>
          <w:lang w:val="sr-Cyrl-RS" w:eastAsia="sr-Latn-RS"/>
        </w:rPr>
        <w:t>их</w:t>
      </w:r>
      <w:proofErr w:type="spellEnd"/>
      <w:r w:rsidRPr="00FD32EC">
        <w:rPr>
          <w:rFonts w:eastAsia="Times New Roman"/>
          <w:lang w:val="sr-Cyrl-RS" w:eastAsia="sr-Latn-RS"/>
        </w:rPr>
        <w:t xml:space="preserve"> коефицијен</w:t>
      </w:r>
      <w:r w:rsidR="0009255D" w:rsidRPr="00FD32EC">
        <w:rPr>
          <w:rFonts w:eastAsia="Times New Roman"/>
          <w:lang w:val="sr-Cyrl-RS" w:eastAsia="sr-Latn-RS"/>
        </w:rPr>
        <w:t>а</w:t>
      </w:r>
      <w:r w:rsidRPr="00FD32EC">
        <w:rPr>
          <w:rFonts w:eastAsia="Times New Roman"/>
          <w:lang w:val="sr-Cyrl-RS" w:eastAsia="sr-Latn-RS"/>
        </w:rPr>
        <w:t xml:space="preserve">та </w:t>
      </w:r>
      <w:r w:rsidR="0009255D" w:rsidRPr="00FD32EC">
        <w:rPr>
          <w:rFonts w:eastAsia="Times New Roman"/>
          <w:lang w:val="sr-Cyrl-RS" w:eastAsia="sr-Latn-RS"/>
        </w:rPr>
        <w:t xml:space="preserve">датих у </w:t>
      </w:r>
      <w:r w:rsidR="00CE1EAB" w:rsidRPr="00FD32EC">
        <w:rPr>
          <w:rFonts w:eastAsia="Times New Roman"/>
          <w:lang w:val="sr-Cyrl-RS" w:eastAsia="sr-Latn-RS"/>
        </w:rPr>
        <w:t>П</w:t>
      </w:r>
      <w:r w:rsidR="0009255D" w:rsidRPr="00FD32EC">
        <w:rPr>
          <w:lang w:val="sr-Cyrl-RS"/>
        </w:rPr>
        <w:t xml:space="preserve">убликацији </w:t>
      </w:r>
      <w:r w:rsidR="00CE1EAB" w:rsidRPr="00FD32EC">
        <w:rPr>
          <w:lang w:val="sr-Cyrl-RS"/>
        </w:rPr>
        <w:t xml:space="preserve">119 </w:t>
      </w:r>
      <w:r w:rsidR="0009255D" w:rsidRPr="00FD32EC">
        <w:rPr>
          <w:lang w:val="sr-Cyrl-RS"/>
        </w:rPr>
        <w:t>Међународн</w:t>
      </w:r>
      <w:r w:rsidR="00CE1EAB" w:rsidRPr="00FD32EC">
        <w:rPr>
          <w:lang w:val="sr-Cyrl-RS"/>
        </w:rPr>
        <w:t>е</w:t>
      </w:r>
      <w:r w:rsidR="0009255D" w:rsidRPr="00FD32EC">
        <w:rPr>
          <w:lang w:val="sr-Cyrl-RS"/>
        </w:rPr>
        <w:t xml:space="preserve"> </w:t>
      </w:r>
      <w:r w:rsidR="00CE1EAB" w:rsidRPr="00FD32EC">
        <w:rPr>
          <w:lang w:val="sr-Cyrl-RS"/>
        </w:rPr>
        <w:t>комисије</w:t>
      </w:r>
      <w:r w:rsidR="0009255D" w:rsidRPr="00FD32EC">
        <w:rPr>
          <w:lang w:val="sr-Cyrl-RS"/>
        </w:rPr>
        <w:t xml:space="preserve"> за заштиту од зрачења </w:t>
      </w:r>
      <w:r w:rsidR="00103C80" w:rsidRPr="00FD32EC">
        <w:t>(</w:t>
      </w:r>
      <w:proofErr w:type="spellStart"/>
      <w:r w:rsidR="00103C80" w:rsidRPr="00FD32EC">
        <w:t>International</w:t>
      </w:r>
      <w:proofErr w:type="spellEnd"/>
      <w:r w:rsidR="00103C80" w:rsidRPr="00FD32EC">
        <w:t xml:space="preserve"> </w:t>
      </w:r>
      <w:proofErr w:type="spellStart"/>
      <w:r w:rsidR="00103C80" w:rsidRPr="00FD32EC">
        <w:t>Commission</w:t>
      </w:r>
      <w:proofErr w:type="spellEnd"/>
      <w:r w:rsidR="00103C80" w:rsidRPr="00FD32EC">
        <w:t xml:space="preserve"> on </w:t>
      </w:r>
      <w:proofErr w:type="spellStart"/>
      <w:r w:rsidR="00103C80" w:rsidRPr="00FD32EC">
        <w:t>Radiological</w:t>
      </w:r>
      <w:proofErr w:type="spellEnd"/>
      <w:r w:rsidR="00103C80" w:rsidRPr="00FD32EC">
        <w:t xml:space="preserve"> </w:t>
      </w:r>
      <w:proofErr w:type="spellStart"/>
      <w:r w:rsidR="00103C80" w:rsidRPr="00FD32EC">
        <w:t>Protection</w:t>
      </w:r>
      <w:proofErr w:type="spellEnd"/>
      <w:r w:rsidR="0009255D" w:rsidRPr="00FD32EC">
        <w:rPr>
          <w:lang w:val="sr-Cyrl-RS"/>
        </w:rPr>
        <w:t>,</w:t>
      </w:r>
      <w:r w:rsidR="00103C80" w:rsidRPr="00FD32EC">
        <w:rPr>
          <w:lang w:val="sr-Cyrl-RS"/>
        </w:rPr>
        <w:t xml:space="preserve"> </w:t>
      </w:r>
      <w:proofErr w:type="spellStart"/>
      <w:r w:rsidR="00103C80" w:rsidRPr="00FD32EC">
        <w:t>Publication</w:t>
      </w:r>
      <w:proofErr w:type="spellEnd"/>
      <w:r w:rsidR="00103C80" w:rsidRPr="00FD32EC">
        <w:t xml:space="preserve"> 119 “</w:t>
      </w:r>
      <w:proofErr w:type="spellStart"/>
      <w:r w:rsidR="00103C80" w:rsidRPr="00FD32EC">
        <w:t>Compendium</w:t>
      </w:r>
      <w:proofErr w:type="spellEnd"/>
      <w:r w:rsidR="00103C80" w:rsidRPr="00FD32EC">
        <w:t xml:space="preserve"> </w:t>
      </w:r>
      <w:proofErr w:type="spellStart"/>
      <w:r w:rsidR="00103C80" w:rsidRPr="00FD32EC">
        <w:t>of</w:t>
      </w:r>
      <w:proofErr w:type="spellEnd"/>
      <w:r w:rsidR="00103C80" w:rsidRPr="00FD32EC">
        <w:t xml:space="preserve"> </w:t>
      </w:r>
      <w:proofErr w:type="spellStart"/>
      <w:r w:rsidR="00103C80" w:rsidRPr="00FD32EC">
        <w:t>Dose</w:t>
      </w:r>
      <w:proofErr w:type="spellEnd"/>
      <w:r w:rsidR="00103C80" w:rsidRPr="00FD32EC">
        <w:t xml:space="preserve"> </w:t>
      </w:r>
      <w:proofErr w:type="spellStart"/>
      <w:r w:rsidR="00103C80" w:rsidRPr="00FD32EC">
        <w:t>Coefficients</w:t>
      </w:r>
      <w:proofErr w:type="spellEnd"/>
      <w:r w:rsidR="00103C80" w:rsidRPr="00FD32EC">
        <w:t xml:space="preserve"> </w:t>
      </w:r>
      <w:proofErr w:type="spellStart"/>
      <w:r w:rsidR="00103C80" w:rsidRPr="00FD32EC">
        <w:t>based</w:t>
      </w:r>
      <w:proofErr w:type="spellEnd"/>
      <w:r w:rsidR="00103C80" w:rsidRPr="00FD32EC">
        <w:t xml:space="preserve"> on ICRP </w:t>
      </w:r>
      <w:proofErr w:type="spellStart"/>
      <w:r w:rsidR="00103C80" w:rsidRPr="00FD32EC">
        <w:t>Publication</w:t>
      </w:r>
      <w:proofErr w:type="spellEnd"/>
      <w:r w:rsidR="00103C80" w:rsidRPr="00FD32EC">
        <w:t xml:space="preserve"> 60”, </w:t>
      </w:r>
      <w:proofErr w:type="spellStart"/>
      <w:r w:rsidR="00103C80" w:rsidRPr="00FD32EC">
        <w:t>Elsevier</w:t>
      </w:r>
      <w:proofErr w:type="spellEnd"/>
      <w:r w:rsidR="00103C80" w:rsidRPr="00FD32EC">
        <w:t xml:space="preserve"> </w:t>
      </w:r>
      <w:proofErr w:type="spellStart"/>
      <w:r w:rsidR="00103C80" w:rsidRPr="00FD32EC">
        <w:t>Ltd</w:t>
      </w:r>
      <w:proofErr w:type="spellEnd"/>
      <w:r w:rsidR="00103C80" w:rsidRPr="00FD32EC">
        <w:t xml:space="preserve"> 2012 ISBN 978-1-4557-5430-4</w:t>
      </w:r>
      <w:r w:rsidR="0009255D" w:rsidRPr="00FD32EC">
        <w:rPr>
          <w:lang w:val="sr-Cyrl-RS"/>
        </w:rPr>
        <w:t>)</w:t>
      </w:r>
      <w:r w:rsidR="009E0A78" w:rsidRPr="00FD32EC">
        <w:rPr>
          <w:lang w:val="sr-Cyrl-RS"/>
        </w:rPr>
        <w:t xml:space="preserve"> </w:t>
      </w:r>
      <w:r w:rsidR="00D10714" w:rsidRPr="00FD32EC">
        <w:rPr>
          <w:lang w:val="sr-Cyrl-RS"/>
        </w:rPr>
        <w:t xml:space="preserve">или новијих вредности </w:t>
      </w:r>
      <w:r w:rsidR="00CE1EAB" w:rsidRPr="00FD32EC">
        <w:rPr>
          <w:lang w:val="sr-Cyrl-RS"/>
        </w:rPr>
        <w:t>које је прихвати</w:t>
      </w:r>
      <w:r w:rsidR="00992926" w:rsidRPr="00FD32EC">
        <w:rPr>
          <w:lang w:val="sr-Cyrl-RS"/>
        </w:rPr>
        <w:t>о</w:t>
      </w:r>
      <w:r w:rsidR="00CE1EAB" w:rsidRPr="00FD32EC">
        <w:rPr>
          <w:lang w:val="sr-Cyrl-RS"/>
        </w:rPr>
        <w:t xml:space="preserve"> </w:t>
      </w:r>
      <w:r w:rsidR="00992926" w:rsidRPr="00FD32EC">
        <w:rPr>
          <w:lang w:val="sr-Cyrl-RS"/>
        </w:rPr>
        <w:t>Директорат</w:t>
      </w:r>
      <w:r w:rsidR="00D10714" w:rsidRPr="00FD32EC">
        <w:rPr>
          <w:lang w:val="sr-Cyrl-RS"/>
        </w:rPr>
        <w:t xml:space="preserve">, </w:t>
      </w:r>
      <w:r w:rsidR="009E0A78" w:rsidRPr="00FD32EC">
        <w:rPr>
          <w:lang w:val="sr-Cyrl-RS"/>
        </w:rPr>
        <w:t>и на основу просечног годишњег уношења воде (730</w:t>
      </w:r>
      <w:r w:rsidR="00CE1EAB" w:rsidRPr="00FD32EC">
        <w:rPr>
          <w:lang w:val="sr-Cyrl-RS"/>
        </w:rPr>
        <w:t> </w:t>
      </w:r>
      <w:r w:rsidR="009E0A78" w:rsidRPr="00FD32EC">
        <w:t>l</w:t>
      </w:r>
      <w:r w:rsidR="009E0A78" w:rsidRPr="00FD32EC">
        <w:rPr>
          <w:lang w:val="sr-Cyrl-RS"/>
        </w:rPr>
        <w:t xml:space="preserve"> за одрасле).</w:t>
      </w:r>
    </w:p>
    <w:p w14:paraId="0818DF5A" w14:textId="77777777" w:rsidR="00D10714" w:rsidRPr="00FD32EC" w:rsidRDefault="00D10714" w:rsidP="0054763C">
      <w:pPr>
        <w:spacing w:after="120"/>
        <w:rPr>
          <w:lang w:val="sr-Cyrl-RS"/>
        </w:rPr>
      </w:pPr>
    </w:p>
    <w:p w14:paraId="3D3D3246" w14:textId="77777777" w:rsidR="00D15274" w:rsidRPr="00FD32EC" w:rsidRDefault="009E0A78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lang w:val="sr-Cyrl-RS"/>
        </w:rPr>
        <w:t xml:space="preserve">Када су испуњени услови из следеће једначине, </w:t>
      </w:r>
    </w:p>
    <w:p w14:paraId="6FBE7235" w14:textId="77777777" w:rsidR="00D15274" w:rsidRPr="00FD32EC" w:rsidRDefault="00D15274" w:rsidP="0054763C">
      <w:pPr>
        <w:spacing w:after="120"/>
        <w:rPr>
          <w:rFonts w:eastAsia="Times New Roman"/>
          <w:lang w:val="sr-Cyrl-RS" w:eastAsia="sr-Latn-RS"/>
        </w:rPr>
      </w:pPr>
    </w:p>
    <w:p w14:paraId="78303FBB" w14:textId="77777777" w:rsidR="00D15274" w:rsidRPr="00FD32EC" w:rsidRDefault="00382A94" w:rsidP="0054763C">
      <w:pPr>
        <w:spacing w:after="120"/>
        <w:jc w:val="center"/>
      </w:pPr>
      <w:r w:rsidRPr="00FD32EC">
        <w:rPr>
          <w:position w:val="-30"/>
        </w:rPr>
        <w:object w:dxaOrig="940" w:dyaOrig="700" w14:anchorId="69808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35.05pt" o:ole="">
            <v:imagedata r:id="rId8" o:title=""/>
          </v:shape>
          <o:OLEObject Type="Embed" ProgID="Equation.3" ShapeID="_x0000_i1025" DrawAspect="Content" ObjectID="_1782727770" r:id="rId9"/>
        </w:object>
      </w:r>
      <w:r w:rsidR="00D15274" w:rsidRPr="00FD32EC">
        <w:t>,</w:t>
      </w:r>
    </w:p>
    <w:p w14:paraId="6E09D919" w14:textId="77777777" w:rsidR="00D15274" w:rsidRPr="00FD32EC" w:rsidRDefault="00D10714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г</w:t>
      </w:r>
      <w:r w:rsidR="00A95619" w:rsidRPr="00FD32EC">
        <w:rPr>
          <w:rFonts w:eastAsia="Times New Roman"/>
          <w:lang w:val="sr-Cyrl-RS" w:eastAsia="sr-Latn-RS"/>
        </w:rPr>
        <w:t>де је:</w:t>
      </w:r>
    </w:p>
    <w:p w14:paraId="0ADA9124" w14:textId="77777777" w:rsidR="00A95619" w:rsidRPr="00FD32EC" w:rsidRDefault="00A95619" w:rsidP="0054763C">
      <w:pPr>
        <w:spacing w:after="120"/>
        <w:rPr>
          <w:rFonts w:eastAsia="Times New Roman"/>
          <w:lang w:val="sr-Cyrl-RS" w:eastAsia="sr-Latn-RS"/>
        </w:rPr>
      </w:pPr>
    </w:p>
    <w:p w14:paraId="7DFECBB2" w14:textId="77777777" w:rsidR="00A95619" w:rsidRPr="00FD32EC" w:rsidRDefault="00A95619" w:rsidP="0054763C">
      <w:pPr>
        <w:pStyle w:val="CM4"/>
        <w:spacing w:after="120" w:line="259" w:lineRule="auto"/>
        <w:jc w:val="both"/>
        <w:rPr>
          <w:rFonts w:ascii="Times New Roman" w:hAnsi="Times New Roman"/>
          <w:lang w:val="sr-Cyrl-RS"/>
        </w:rPr>
      </w:pPr>
      <w:proofErr w:type="spellStart"/>
      <w:r w:rsidRPr="00FD32EC">
        <w:rPr>
          <w:rFonts w:ascii="Times New Roman" w:hAnsi="Times New Roman"/>
          <w:lang w:val="sr-Latn-RS"/>
        </w:rPr>
        <w:t>C</w:t>
      </w:r>
      <w:r w:rsidRPr="00FD32EC">
        <w:rPr>
          <w:rFonts w:ascii="Times New Roman" w:hAnsi="Times New Roman"/>
          <w:vertAlign w:val="subscript"/>
          <w:lang w:val="sr-Latn-RS"/>
        </w:rPr>
        <w:t>i</w:t>
      </w:r>
      <w:proofErr w:type="spellEnd"/>
      <w:r w:rsidRPr="00FD32EC">
        <w:rPr>
          <w:rFonts w:ascii="Times New Roman" w:hAnsi="Times New Roman"/>
          <w:lang w:val="sr-Cyrl-RS"/>
        </w:rPr>
        <w:t xml:space="preserve"> = концентрација радионуклида </w:t>
      </w:r>
      <w:r w:rsidRPr="00FD32EC">
        <w:rPr>
          <w:rFonts w:ascii="Times New Roman" w:hAnsi="Times New Roman"/>
          <w:b/>
          <w:lang w:val="sr-Latn-RS"/>
        </w:rPr>
        <w:t>i</w:t>
      </w:r>
      <w:r w:rsidRPr="00FD32EC">
        <w:rPr>
          <w:rFonts w:ascii="Times New Roman" w:hAnsi="Times New Roman"/>
          <w:lang w:val="sr-Cyrl-RS"/>
        </w:rPr>
        <w:t xml:space="preserve"> </w:t>
      </w:r>
    </w:p>
    <w:p w14:paraId="32D95FA7" w14:textId="77777777" w:rsidR="00A95619" w:rsidRPr="00FD32EC" w:rsidRDefault="00B71719" w:rsidP="0054763C">
      <w:pPr>
        <w:pStyle w:val="CM4"/>
        <w:spacing w:after="120" w:line="259" w:lineRule="auto"/>
        <w:jc w:val="both"/>
        <w:rPr>
          <w:rFonts w:ascii="Times New Roman" w:hAnsi="Times New Roman"/>
          <w:lang w:val="sr-Cyrl-RS"/>
        </w:rPr>
      </w:pPr>
      <w:r w:rsidRPr="00FD32EC">
        <w:rPr>
          <w:rFonts w:ascii="Times New Roman" w:hAnsi="Times New Roman"/>
        </w:rPr>
        <w:t>IK</w:t>
      </w:r>
      <w:r w:rsidR="00A95619" w:rsidRPr="00FD32EC">
        <w:rPr>
          <w:rFonts w:ascii="Times New Roman" w:hAnsi="Times New Roman"/>
          <w:vertAlign w:val="subscript"/>
        </w:rPr>
        <w:t>i</w:t>
      </w:r>
      <w:r w:rsidR="00A95619" w:rsidRPr="00FD32EC">
        <w:rPr>
          <w:rFonts w:ascii="Times New Roman" w:hAnsi="Times New Roman"/>
          <w:lang w:val="sr-Cyrl-RS"/>
        </w:rPr>
        <w:t xml:space="preserve"> = изведена концентрација</w:t>
      </w:r>
      <w:r w:rsidRPr="00FD32EC">
        <w:rPr>
          <w:rFonts w:ascii="Times New Roman" w:hAnsi="Times New Roman"/>
          <w:lang w:val="sr-Latn-RS"/>
        </w:rPr>
        <w:t xml:space="preserve"> </w:t>
      </w:r>
      <w:r w:rsidR="00A95619" w:rsidRPr="00FD32EC">
        <w:rPr>
          <w:rFonts w:ascii="Times New Roman" w:hAnsi="Times New Roman"/>
          <w:lang w:val="sr-Cyrl-RS"/>
        </w:rPr>
        <w:t>радионуклида</w:t>
      </w:r>
      <w:r w:rsidR="00A95619" w:rsidRPr="00FD32EC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A95619" w:rsidRPr="00FD32EC">
        <w:rPr>
          <w:rFonts w:ascii="Times New Roman" w:hAnsi="Times New Roman"/>
          <w:b/>
        </w:rPr>
        <w:t>i</w:t>
      </w:r>
      <w:proofErr w:type="spellEnd"/>
    </w:p>
    <w:p w14:paraId="58376A66" w14:textId="77777777" w:rsidR="00A95619" w:rsidRPr="00FD32EC" w:rsidRDefault="00A95619" w:rsidP="0054763C">
      <w:pPr>
        <w:pStyle w:val="CM4"/>
        <w:spacing w:after="120" w:line="259" w:lineRule="auto"/>
        <w:jc w:val="both"/>
        <w:rPr>
          <w:rFonts w:ascii="Times New Roman" w:hAnsi="Times New Roman"/>
          <w:lang w:val="sr-Cyrl-RS"/>
        </w:rPr>
      </w:pPr>
      <w:r w:rsidRPr="00FD32EC">
        <w:rPr>
          <w:rFonts w:ascii="Times New Roman" w:hAnsi="Times New Roman"/>
        </w:rPr>
        <w:t>n</w:t>
      </w:r>
      <w:r w:rsidRPr="00FD32EC">
        <w:rPr>
          <w:rFonts w:ascii="Times New Roman" w:hAnsi="Times New Roman"/>
          <w:lang w:val="sr-Cyrl-RS"/>
        </w:rPr>
        <w:t xml:space="preserve"> = број </w:t>
      </w:r>
      <w:proofErr w:type="spellStart"/>
      <w:r w:rsidRPr="00FD32EC">
        <w:rPr>
          <w:rFonts w:ascii="Times New Roman" w:hAnsi="Times New Roman"/>
          <w:lang w:val="sr-Cyrl-RS"/>
        </w:rPr>
        <w:t>детектованих</w:t>
      </w:r>
      <w:proofErr w:type="spellEnd"/>
      <w:r w:rsidRPr="00FD32EC">
        <w:rPr>
          <w:rFonts w:ascii="Times New Roman" w:hAnsi="Times New Roman"/>
          <w:lang w:val="sr-Cyrl-RS"/>
        </w:rPr>
        <w:t xml:space="preserve"> радионуклида</w:t>
      </w:r>
    </w:p>
    <w:p w14:paraId="60F9B800" w14:textId="77777777" w:rsidR="00214448" w:rsidRPr="00FD32EC" w:rsidRDefault="00214448" w:rsidP="0054763C">
      <w:pPr>
        <w:spacing w:after="120"/>
        <w:rPr>
          <w:lang w:val="sr-Cyrl-RS"/>
        </w:rPr>
      </w:pPr>
    </w:p>
    <w:p w14:paraId="6714B5E2" w14:textId="77777777" w:rsidR="00D10714" w:rsidRPr="00FD32EC" w:rsidRDefault="00D10714" w:rsidP="0054763C">
      <w:pPr>
        <w:spacing w:after="120"/>
        <w:rPr>
          <w:lang w:val="sr-Cyrl-RS"/>
        </w:rPr>
      </w:pPr>
      <w:r w:rsidRPr="00FD32EC">
        <w:rPr>
          <w:lang w:val="sr-Cyrl-RS"/>
        </w:rPr>
        <w:t>сматра се да је резултујућа доза мања од 0,1</w:t>
      </w:r>
      <w:r w:rsidR="00CE1EAB" w:rsidRPr="00FD32EC">
        <w:rPr>
          <w:lang w:val="sr-Cyrl-RS"/>
        </w:rPr>
        <w:t> </w:t>
      </w:r>
      <w:proofErr w:type="spellStart"/>
      <w:r w:rsidRPr="00FD32EC">
        <w:t>mSv</w:t>
      </w:r>
      <w:proofErr w:type="spellEnd"/>
      <w:r w:rsidRPr="00FD32EC">
        <w:rPr>
          <w:lang w:val="sr-Cyrl-RS"/>
        </w:rPr>
        <w:t xml:space="preserve"> и нису потребна друга мерења.</w:t>
      </w:r>
    </w:p>
    <w:p w14:paraId="20928FCC" w14:textId="77777777" w:rsidR="00A95619" w:rsidRPr="00FD32EC" w:rsidRDefault="00A95619" w:rsidP="0054763C">
      <w:pPr>
        <w:spacing w:after="120"/>
        <w:rPr>
          <w:rFonts w:eastAsia="Times New Roman"/>
          <w:lang w:val="sr-Cyrl-RS" w:eastAsia="sr-Latn-RS"/>
        </w:rPr>
      </w:pPr>
    </w:p>
    <w:p w14:paraId="31A33FC8" w14:textId="77777777" w:rsidR="00616855" w:rsidRPr="00FD32EC" w:rsidRDefault="00616855" w:rsidP="0054763C">
      <w:pPr>
        <w:spacing w:after="120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Изведене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концентрације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појединач</w:t>
      </w:r>
      <w:r w:rsidR="00493D4D" w:rsidRPr="00FD32EC">
        <w:rPr>
          <w:rFonts w:eastAsia="Times New Roman"/>
          <w:lang w:eastAsia="sr-Latn-RS"/>
        </w:rPr>
        <w:t>них</w:t>
      </w:r>
      <w:proofErr w:type="spellEnd"/>
      <w:r w:rsidR="00493D4D" w:rsidRPr="00FD32EC">
        <w:rPr>
          <w:rFonts w:eastAsia="Times New Roman"/>
          <w:lang w:eastAsia="sr-Latn-RS"/>
        </w:rPr>
        <w:t xml:space="preserve"> радионуклида у </w:t>
      </w:r>
      <w:proofErr w:type="spellStart"/>
      <w:r w:rsidR="00493D4D" w:rsidRPr="00FD32EC">
        <w:rPr>
          <w:rFonts w:eastAsia="Times New Roman"/>
          <w:lang w:eastAsia="sr-Latn-RS"/>
        </w:rPr>
        <w:t>води</w:t>
      </w:r>
      <w:proofErr w:type="spellEnd"/>
      <w:r w:rsidR="00493D4D" w:rsidRPr="00FD32EC">
        <w:rPr>
          <w:rFonts w:eastAsia="Times New Roman"/>
          <w:lang w:eastAsia="sr-Latn-RS"/>
        </w:rPr>
        <w:t xml:space="preserve"> </w:t>
      </w:r>
      <w:proofErr w:type="spellStart"/>
      <w:r w:rsidR="00493D4D" w:rsidRPr="00FD32EC">
        <w:rPr>
          <w:rFonts w:eastAsia="Times New Roman"/>
          <w:lang w:eastAsia="sr-Latn-RS"/>
        </w:rPr>
        <w:t>за</w:t>
      </w:r>
      <w:proofErr w:type="spellEnd"/>
      <w:r w:rsidR="00493D4D" w:rsidRPr="00FD32EC">
        <w:rPr>
          <w:rFonts w:eastAsia="Times New Roman"/>
          <w:lang w:eastAsia="sr-Latn-RS"/>
        </w:rPr>
        <w:t xml:space="preserve"> </w:t>
      </w:r>
      <w:proofErr w:type="spellStart"/>
      <w:r w:rsidR="00493D4D" w:rsidRPr="00FD32EC">
        <w:rPr>
          <w:rFonts w:eastAsia="Times New Roman"/>
          <w:lang w:eastAsia="sr-Latn-RS"/>
        </w:rPr>
        <w:t>пиће</w:t>
      </w:r>
      <w:proofErr w:type="spellEnd"/>
      <w:r w:rsidR="00493D4D" w:rsidRPr="00FD32EC">
        <w:rPr>
          <w:rFonts w:eastAsia="Times New Roman"/>
          <w:vertAlign w:val="superscript"/>
          <w:lang w:val="sr-Cyrl-RS" w:eastAsia="sr-Latn-RS"/>
        </w:rPr>
        <w:t>1</w:t>
      </w:r>
    </w:p>
    <w:p w14:paraId="5ED297BF" w14:textId="77777777" w:rsidR="00D15274" w:rsidRPr="00FD32EC" w:rsidRDefault="00D15274" w:rsidP="0054763C">
      <w:pPr>
        <w:spacing w:after="120"/>
        <w:rPr>
          <w:rFonts w:eastAsia="Times New Roman"/>
          <w:lang w:val="sr-Cyrl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556"/>
        <w:gridCol w:w="4291"/>
      </w:tblGrid>
      <w:tr w:rsidR="00FD32EC" w:rsidRPr="00FD32EC" w14:paraId="615296E3" w14:textId="77777777" w:rsidTr="00F0332A">
        <w:trPr>
          <w:tblCellSpacing w:w="0" w:type="dxa"/>
        </w:trPr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6E26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299FF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sr-Cyrl-RS"/>
              </w:rPr>
            </w:pPr>
            <w:proofErr w:type="spellStart"/>
            <w:r w:rsidRPr="00FD32EC">
              <w:rPr>
                <w:rFonts w:eastAsia="Times New Roman"/>
                <w:lang w:val="sr-Cyrl-RS"/>
              </w:rPr>
              <w:t>Радионуклид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9E95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rPr>
                <w:rFonts w:eastAsia="Times New Roman"/>
                <w:lang w:val="sr-Cyrl-RS"/>
              </w:rPr>
              <w:t>Изведена концентрација</w:t>
            </w:r>
            <w:r w:rsidRPr="00FD32EC">
              <w:rPr>
                <w:rFonts w:eastAsia="Times New Roman"/>
                <w:lang w:val="en-GB"/>
              </w:rPr>
              <w:t xml:space="preserve"> (</w:t>
            </w:r>
            <w:proofErr w:type="spellStart"/>
            <w:r w:rsidRPr="00FD32EC">
              <w:rPr>
                <w:rFonts w:eastAsia="Times New Roman"/>
                <w:lang w:val="en-GB"/>
              </w:rPr>
              <w:t>Bq</w:t>
            </w:r>
            <w:proofErr w:type="spellEnd"/>
            <w:r w:rsidRPr="00FD32EC">
              <w:rPr>
                <w:rFonts w:eastAsia="Times New Roman"/>
                <w:lang w:val="en-GB"/>
              </w:rPr>
              <w:t>/l)</w:t>
            </w:r>
          </w:p>
        </w:tc>
      </w:tr>
      <w:tr w:rsidR="00FD32EC" w:rsidRPr="00FD32EC" w14:paraId="2D9D42F3" w14:textId="77777777" w:rsidTr="00F0332A">
        <w:trPr>
          <w:tblCellSpacing w:w="0" w:type="dxa"/>
        </w:trPr>
        <w:tc>
          <w:tcPr>
            <w:tcW w:w="12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8737DB9" w14:textId="77777777" w:rsidR="00616855" w:rsidRPr="00FD32EC" w:rsidRDefault="00616855" w:rsidP="0054763C">
            <w:pPr>
              <w:spacing w:after="120"/>
              <w:rPr>
                <w:lang w:val="sr-Cyrl-RS"/>
              </w:rPr>
            </w:pPr>
            <w:r w:rsidRPr="00FD32EC">
              <w:rPr>
                <w:lang w:val="sr-Cyrl-RS"/>
              </w:rPr>
              <w:t>Природни</w:t>
            </w:r>
          </w:p>
          <w:p w14:paraId="41AAF454" w14:textId="77777777" w:rsidR="00616855" w:rsidRPr="00FD32EC" w:rsidRDefault="00616855" w:rsidP="0054763C">
            <w:pPr>
              <w:spacing w:after="120"/>
              <w:rPr>
                <w:lang w:val="sr-Cyrl-RS"/>
              </w:rPr>
            </w:pPr>
            <w:proofErr w:type="spellStart"/>
            <w:r w:rsidRPr="00FD32EC">
              <w:rPr>
                <w:lang w:val="sr-Cyrl-RS"/>
              </w:rPr>
              <w:t>радионуклиди</w:t>
            </w:r>
            <w:proofErr w:type="spellEnd"/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C175A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U-238</w:t>
            </w:r>
            <w:r w:rsidRPr="00FD32E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8B390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3,0</w:t>
            </w:r>
          </w:p>
        </w:tc>
      </w:tr>
      <w:tr w:rsidR="00FD32EC" w:rsidRPr="00FD32EC" w14:paraId="3F6FFB76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1E417E" w14:textId="77777777" w:rsidR="00616855" w:rsidRPr="00FD32EC" w:rsidRDefault="00616855" w:rsidP="0054763C">
            <w:pPr>
              <w:spacing w:after="120"/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330BF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U-234</w:t>
            </w:r>
            <w:r w:rsidRPr="00FD32E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21581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2,8</w:t>
            </w:r>
          </w:p>
        </w:tc>
      </w:tr>
      <w:tr w:rsidR="00FD32EC" w:rsidRPr="00FD32EC" w14:paraId="39E5EC59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60EB29C" w14:textId="77777777" w:rsidR="00616855" w:rsidRPr="00FD32EC" w:rsidRDefault="00616855" w:rsidP="0054763C">
            <w:pPr>
              <w:spacing w:after="120"/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6F538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Ra-226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A4A6D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0,5</w:t>
            </w:r>
          </w:p>
        </w:tc>
      </w:tr>
      <w:tr w:rsidR="00FD32EC" w:rsidRPr="00FD32EC" w14:paraId="0B2C2B7C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4A8E760" w14:textId="77777777" w:rsidR="00616855" w:rsidRPr="00FD32EC" w:rsidRDefault="00616855" w:rsidP="0054763C">
            <w:pPr>
              <w:spacing w:after="120"/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12DEF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Ra-228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FE6A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0,2</w:t>
            </w:r>
          </w:p>
        </w:tc>
      </w:tr>
      <w:tr w:rsidR="00FD32EC" w:rsidRPr="00FD32EC" w14:paraId="7AC1E5EF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8CFB01" w14:textId="77777777" w:rsidR="00616855" w:rsidRPr="00FD32EC" w:rsidRDefault="00616855" w:rsidP="0054763C">
            <w:pPr>
              <w:spacing w:after="120"/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62FBB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Pb-210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1CEA9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0,2</w:t>
            </w:r>
          </w:p>
        </w:tc>
      </w:tr>
      <w:tr w:rsidR="00FD32EC" w:rsidRPr="00FD32EC" w14:paraId="5C266F2A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EF908" w14:textId="77777777" w:rsidR="00616855" w:rsidRPr="00FD32EC" w:rsidRDefault="00616855" w:rsidP="0054763C">
            <w:pPr>
              <w:spacing w:after="120"/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4A7D0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Po-210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68C70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0,1</w:t>
            </w:r>
          </w:p>
        </w:tc>
      </w:tr>
      <w:tr w:rsidR="00FD32EC" w:rsidRPr="00FD32EC" w14:paraId="463D7545" w14:textId="77777777" w:rsidTr="00F0332A">
        <w:trPr>
          <w:tblCellSpacing w:w="0" w:type="dxa"/>
        </w:trPr>
        <w:tc>
          <w:tcPr>
            <w:tcW w:w="12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9838D3A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sr-Cyrl-RS"/>
              </w:rPr>
            </w:pPr>
            <w:r w:rsidRPr="00FD32EC">
              <w:rPr>
                <w:rFonts w:eastAsia="Times New Roman"/>
                <w:lang w:val="sr-Cyrl-RS"/>
              </w:rPr>
              <w:t xml:space="preserve">Вештачки </w:t>
            </w:r>
            <w:proofErr w:type="spellStart"/>
            <w:r w:rsidRPr="00FD32EC">
              <w:rPr>
                <w:rFonts w:eastAsia="Times New Roman"/>
                <w:lang w:val="sr-Cyrl-RS"/>
              </w:rPr>
              <w:t>радионуклиди</w:t>
            </w:r>
            <w:proofErr w:type="spellEnd"/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DC448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C-14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FF2AC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240</w:t>
            </w:r>
          </w:p>
        </w:tc>
      </w:tr>
      <w:tr w:rsidR="00FD32EC" w:rsidRPr="00FD32EC" w14:paraId="308D3AC6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EC8A82A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833C4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Sr-90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6BE3F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4,9</w:t>
            </w:r>
          </w:p>
        </w:tc>
      </w:tr>
      <w:tr w:rsidR="00FD32EC" w:rsidRPr="00FD32EC" w14:paraId="6D578D82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5148723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10EF2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Pu-239/Pu-240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753D3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0,6</w:t>
            </w:r>
          </w:p>
        </w:tc>
      </w:tr>
      <w:tr w:rsidR="00FD32EC" w:rsidRPr="00FD32EC" w14:paraId="4A8C21F0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2DC957C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F8731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Am-241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5824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0,7</w:t>
            </w:r>
          </w:p>
        </w:tc>
      </w:tr>
      <w:tr w:rsidR="00FD32EC" w:rsidRPr="00FD32EC" w14:paraId="01DD021C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CFECB40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5900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Co-60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B2D7F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40</w:t>
            </w:r>
          </w:p>
        </w:tc>
      </w:tr>
      <w:tr w:rsidR="00FD32EC" w:rsidRPr="00FD32EC" w14:paraId="059A458B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6A69CA8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9127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Cs-134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132E5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7,2</w:t>
            </w:r>
          </w:p>
        </w:tc>
      </w:tr>
      <w:tr w:rsidR="00FD32EC" w:rsidRPr="00FD32EC" w14:paraId="7550EEA3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6A984D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17B4B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Cs-137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3C45C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11</w:t>
            </w:r>
          </w:p>
        </w:tc>
      </w:tr>
      <w:tr w:rsidR="00616855" w:rsidRPr="00FD32EC" w14:paraId="30635075" w14:textId="77777777" w:rsidTr="00F0332A">
        <w:trPr>
          <w:tblCellSpacing w:w="0" w:type="dxa"/>
        </w:trPr>
        <w:tc>
          <w:tcPr>
            <w:tcW w:w="12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FCEAA" w14:textId="77777777" w:rsidR="00616855" w:rsidRPr="00FD32EC" w:rsidDel="00926D05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1583" w14:textId="77777777" w:rsidR="00616855" w:rsidRPr="00FD32EC" w:rsidRDefault="00616855" w:rsidP="0054763C">
            <w:pPr>
              <w:spacing w:after="120"/>
              <w:rPr>
                <w:rFonts w:eastAsia="Times New Roman"/>
                <w:lang w:val="en-GB"/>
              </w:rPr>
            </w:pPr>
            <w:r w:rsidRPr="00FD32EC">
              <w:t>I-131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46E9" w14:textId="77777777" w:rsidR="00616855" w:rsidRPr="00FD32EC" w:rsidRDefault="00616855" w:rsidP="0054763C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FD32EC">
              <w:t>6,2</w:t>
            </w:r>
          </w:p>
        </w:tc>
      </w:tr>
    </w:tbl>
    <w:p w14:paraId="6D125CFC" w14:textId="77777777" w:rsidR="00616855" w:rsidRPr="00FD32EC" w:rsidRDefault="00616855" w:rsidP="0054763C">
      <w:pPr>
        <w:spacing w:after="120"/>
        <w:rPr>
          <w:rFonts w:eastAsia="Times New Roman"/>
          <w:lang w:val="sr-Cyrl-RS" w:eastAsia="sr-Latn-RS"/>
        </w:rPr>
      </w:pPr>
    </w:p>
    <w:p w14:paraId="7486307F" w14:textId="77777777" w:rsidR="0081370E" w:rsidRPr="00FD32EC" w:rsidRDefault="0081370E" w:rsidP="0054763C">
      <w:pPr>
        <w:spacing w:after="120"/>
        <w:rPr>
          <w:rFonts w:eastAsia="Times New Roman"/>
          <w:sz w:val="22"/>
          <w:szCs w:val="22"/>
          <w:lang w:val="sr-Cyrl-RS" w:eastAsia="sr-Latn-RS"/>
        </w:rPr>
      </w:pPr>
      <w:r w:rsidRPr="00FD32EC">
        <w:rPr>
          <w:rFonts w:eastAsia="Times New Roman"/>
          <w:sz w:val="22"/>
          <w:szCs w:val="22"/>
          <w:lang w:val="sr-Cyrl-RS" w:eastAsia="sr-Latn-RS"/>
        </w:rPr>
        <w:t>Напомене</w:t>
      </w:r>
      <w:r w:rsidR="009A65CE" w:rsidRPr="00FD32EC">
        <w:rPr>
          <w:rFonts w:eastAsia="Times New Roman"/>
          <w:sz w:val="22"/>
          <w:szCs w:val="22"/>
          <w:lang w:val="sr-Cyrl-RS" w:eastAsia="sr-Latn-RS"/>
        </w:rPr>
        <w:t>:</w:t>
      </w:r>
    </w:p>
    <w:p w14:paraId="5AFF6934" w14:textId="7BB90B78" w:rsidR="0081370E" w:rsidRPr="00FD32EC" w:rsidRDefault="00321201" w:rsidP="0054763C">
      <w:pPr>
        <w:pStyle w:val="ListParagraph"/>
        <w:numPr>
          <w:ilvl w:val="0"/>
          <w:numId w:val="5"/>
        </w:numPr>
        <w:spacing w:after="120"/>
        <w:jc w:val="both"/>
        <w:rPr>
          <w:rFonts w:eastAsia="Times New Roman"/>
          <w:sz w:val="22"/>
          <w:szCs w:val="22"/>
          <w:lang w:val="sr-Cyrl-RS"/>
        </w:rPr>
      </w:pPr>
      <w:r w:rsidRPr="00FD32EC">
        <w:rPr>
          <w:rFonts w:eastAsia="Times New Roman"/>
          <w:sz w:val="22"/>
          <w:szCs w:val="22"/>
          <w:lang w:val="sr-Cyrl-RS" w:eastAsia="sr-Latn-RS"/>
        </w:rPr>
        <w:t>Т</w:t>
      </w:r>
      <w:r w:rsidR="0081370E" w:rsidRPr="00FD32EC">
        <w:rPr>
          <w:rFonts w:eastAsia="Times New Roman"/>
          <w:sz w:val="22"/>
          <w:szCs w:val="22"/>
          <w:lang w:val="sr-Cyrl-RS" w:eastAsia="sr-Latn-RS"/>
        </w:rPr>
        <w:t>абела садржи вредности за изведене концентрације природних или вештачких рад</w:t>
      </w:r>
      <w:r w:rsidR="00914CBA" w:rsidRPr="00FD32EC">
        <w:rPr>
          <w:rFonts w:eastAsia="Times New Roman"/>
          <w:sz w:val="22"/>
          <w:szCs w:val="22"/>
          <w:lang w:val="sr-Cyrl-RS" w:eastAsia="sr-Latn-RS"/>
        </w:rPr>
        <w:t>ионуклида који се најчешће могу појавити, а израчунавају се на основу дозе од 0,1</w:t>
      </w:r>
      <w:r w:rsidR="00CE1EAB" w:rsidRPr="00FD32EC">
        <w:rPr>
          <w:rFonts w:eastAsia="Times New Roman"/>
          <w:sz w:val="22"/>
          <w:szCs w:val="22"/>
          <w:lang w:val="sr-Cyrl-RS" w:eastAsia="sr-Latn-RS"/>
        </w:rPr>
        <w:t> </w:t>
      </w:r>
      <w:proofErr w:type="spellStart"/>
      <w:r w:rsidR="00914CBA" w:rsidRPr="00FD32EC">
        <w:rPr>
          <w:rFonts w:eastAsia="Times New Roman"/>
          <w:sz w:val="22"/>
          <w:szCs w:val="22"/>
          <w:lang w:eastAsia="sr-Latn-RS"/>
        </w:rPr>
        <w:t>mSv</w:t>
      </w:r>
      <w:proofErr w:type="spellEnd"/>
      <w:r w:rsidR="00914CBA" w:rsidRPr="00FD32EC">
        <w:rPr>
          <w:rFonts w:eastAsia="Times New Roman"/>
          <w:sz w:val="22"/>
          <w:szCs w:val="22"/>
          <w:lang w:eastAsia="sr-Latn-RS"/>
        </w:rPr>
        <w:t>,</w:t>
      </w:r>
      <w:r w:rsidR="00CE1EAB" w:rsidRPr="00FD32EC">
        <w:rPr>
          <w:rFonts w:eastAsia="Times New Roman"/>
          <w:sz w:val="22"/>
          <w:szCs w:val="22"/>
          <w:lang w:val="sr-Cyrl-RS" w:eastAsia="sr-Latn-RS"/>
        </w:rPr>
        <w:t xml:space="preserve"> </w:t>
      </w:r>
      <w:r w:rsidR="00914CBA" w:rsidRPr="00FD32EC">
        <w:rPr>
          <w:rFonts w:eastAsia="Times New Roman"/>
          <w:sz w:val="22"/>
          <w:szCs w:val="22"/>
          <w:lang w:val="sr-Cyrl-RS" w:eastAsia="sr-Latn-RS"/>
        </w:rPr>
        <w:t>просечног годишњег уно</w:t>
      </w:r>
      <w:r w:rsidR="00CE1EAB" w:rsidRPr="00FD32EC">
        <w:rPr>
          <w:rFonts w:eastAsia="Times New Roman"/>
          <w:sz w:val="22"/>
          <w:szCs w:val="22"/>
          <w:lang w:val="sr-Cyrl-RS" w:eastAsia="sr-Latn-RS"/>
        </w:rPr>
        <w:t>са</w:t>
      </w:r>
      <w:r w:rsidR="00914CBA" w:rsidRPr="00FD32EC">
        <w:rPr>
          <w:rFonts w:eastAsia="Times New Roman"/>
          <w:sz w:val="22"/>
          <w:szCs w:val="22"/>
          <w:lang w:val="sr-Cyrl-RS" w:eastAsia="sr-Latn-RS"/>
        </w:rPr>
        <w:t xml:space="preserve"> воде од 730</w:t>
      </w:r>
      <w:r w:rsidR="00CE1EAB" w:rsidRPr="00FD32EC">
        <w:rPr>
          <w:rFonts w:eastAsia="Times New Roman"/>
          <w:sz w:val="22"/>
          <w:szCs w:val="22"/>
          <w:lang w:val="sr-Cyrl-RS" w:eastAsia="sr-Latn-RS"/>
        </w:rPr>
        <w:t xml:space="preserve"> </w:t>
      </w:r>
      <w:r w:rsidR="00914CBA" w:rsidRPr="00FD32EC">
        <w:rPr>
          <w:rFonts w:eastAsia="Times New Roman"/>
          <w:sz w:val="22"/>
          <w:szCs w:val="22"/>
          <w:lang w:val="sr-Cyrl-RS" w:eastAsia="sr-Latn-RS"/>
        </w:rPr>
        <w:t>литара и дозног коефицијента</w:t>
      </w:r>
      <w:r w:rsidR="00914CBA" w:rsidRPr="00FD32EC">
        <w:rPr>
          <w:rFonts w:eastAsia="Times New Roman"/>
          <w:sz w:val="22"/>
          <w:szCs w:val="22"/>
          <w:lang w:val="sr-Cyrl-RS"/>
        </w:rPr>
        <w:t xml:space="preserve"> </w:t>
      </w:r>
      <w:r w:rsidR="002E64C0" w:rsidRPr="00FD32EC">
        <w:rPr>
          <w:rFonts w:eastAsia="Times New Roman"/>
          <w:sz w:val="22"/>
          <w:szCs w:val="22"/>
          <w:lang w:val="sr-Cyrl-RS"/>
        </w:rPr>
        <w:t xml:space="preserve">датог у </w:t>
      </w:r>
      <w:r w:rsidR="0037069F" w:rsidRPr="00FD32EC">
        <w:rPr>
          <w:rFonts w:eastAsia="Times New Roman"/>
          <w:sz w:val="22"/>
          <w:szCs w:val="22"/>
          <w:lang w:val="sr-Cyrl-RS"/>
        </w:rPr>
        <w:t>Публикацији 119 Међународне комисије за заштиту од зрачења</w:t>
      </w:r>
      <w:r w:rsidR="00493D4D" w:rsidRPr="00FD32EC">
        <w:rPr>
          <w:rFonts w:eastAsia="Times New Roman"/>
          <w:sz w:val="22"/>
          <w:szCs w:val="22"/>
          <w:lang w:val="sr-Cyrl-RS"/>
        </w:rPr>
        <w:t xml:space="preserve">. </w:t>
      </w:r>
      <w:r w:rsidR="00914CBA" w:rsidRPr="00FD32EC">
        <w:rPr>
          <w:rFonts w:eastAsia="Times New Roman"/>
          <w:sz w:val="22"/>
          <w:szCs w:val="22"/>
          <w:lang w:val="sr-Cyrl-RS"/>
        </w:rPr>
        <w:t>Изведене концентрације других радионуклида се могу израчунати на исти начин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 и по потреби обнављати у складу са новијим информацијама доступни</w:t>
      </w:r>
      <w:r w:rsidR="0091393D" w:rsidRPr="00FD32EC">
        <w:rPr>
          <w:rFonts w:eastAsia="Times New Roman"/>
          <w:sz w:val="22"/>
          <w:szCs w:val="22"/>
          <w:lang w:val="sr-Cyrl-RS"/>
        </w:rPr>
        <w:t>м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 </w:t>
      </w:r>
      <w:proofErr w:type="spellStart"/>
      <w:r w:rsidR="00992926" w:rsidRPr="00FD32EC">
        <w:rPr>
          <w:rFonts w:eastAsia="Times New Roman"/>
          <w:sz w:val="22"/>
          <w:szCs w:val="22"/>
          <w:lang w:val="sr-Cyrl-RS"/>
        </w:rPr>
        <w:t>Директорату</w:t>
      </w:r>
      <w:proofErr w:type="spellEnd"/>
      <w:r w:rsidR="00A610D1" w:rsidRPr="00FD32EC">
        <w:rPr>
          <w:rFonts w:eastAsia="Times New Roman"/>
          <w:sz w:val="22"/>
          <w:szCs w:val="22"/>
          <w:lang w:val="sr-Cyrl-RS"/>
        </w:rPr>
        <w:t>.</w:t>
      </w:r>
    </w:p>
    <w:p w14:paraId="1373CD7B" w14:textId="77777777" w:rsidR="00A610D1" w:rsidRPr="00FD32EC" w:rsidRDefault="00321201" w:rsidP="0054763C">
      <w:pPr>
        <w:pStyle w:val="ListParagraph"/>
        <w:numPr>
          <w:ilvl w:val="0"/>
          <w:numId w:val="5"/>
        </w:numPr>
        <w:spacing w:after="120"/>
        <w:rPr>
          <w:rFonts w:eastAsia="Times New Roman"/>
          <w:sz w:val="22"/>
          <w:szCs w:val="22"/>
          <w:lang w:val="sr-Cyrl-RS" w:eastAsia="sr-Latn-RS"/>
        </w:rPr>
      </w:pPr>
      <w:r w:rsidRPr="00FD32EC">
        <w:rPr>
          <w:rFonts w:eastAsia="Times New Roman"/>
          <w:sz w:val="22"/>
          <w:szCs w:val="22"/>
          <w:lang w:val="sr-Cyrl-RS"/>
        </w:rPr>
        <w:t>В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редности су добијене само разматрањем радиолошких својстава </w:t>
      </w:r>
      <w:proofErr w:type="spellStart"/>
      <w:r w:rsidR="00A610D1" w:rsidRPr="00FD32EC">
        <w:rPr>
          <w:rFonts w:eastAsia="Times New Roman"/>
          <w:sz w:val="22"/>
          <w:szCs w:val="22"/>
          <w:lang w:val="sr-Cyrl-RS"/>
        </w:rPr>
        <w:t>уранијума</w:t>
      </w:r>
      <w:proofErr w:type="spellEnd"/>
      <w:r w:rsidR="00493D4D" w:rsidRPr="00FD32EC">
        <w:rPr>
          <w:rFonts w:eastAsia="Times New Roman"/>
          <w:sz w:val="22"/>
          <w:szCs w:val="22"/>
          <w:lang w:val="sr-Cyrl-RS"/>
        </w:rPr>
        <w:t>,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 његов</w:t>
      </w:r>
      <w:r w:rsidR="001805CE" w:rsidRPr="00FD32EC">
        <w:rPr>
          <w:rFonts w:eastAsia="Times New Roman"/>
          <w:sz w:val="22"/>
          <w:szCs w:val="22"/>
          <w:lang w:val="sr-Cyrl-RS"/>
        </w:rPr>
        <w:t>а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 хемијск</w:t>
      </w:r>
      <w:r w:rsidR="001805CE" w:rsidRPr="00FD32EC">
        <w:rPr>
          <w:rFonts w:eastAsia="Times New Roman"/>
          <w:sz w:val="22"/>
          <w:szCs w:val="22"/>
          <w:lang w:val="sr-Cyrl-RS"/>
        </w:rPr>
        <w:t>а</w:t>
      </w:r>
      <w:r w:rsidR="00A610D1" w:rsidRPr="00FD32EC">
        <w:rPr>
          <w:rFonts w:eastAsia="Times New Roman"/>
          <w:sz w:val="22"/>
          <w:szCs w:val="22"/>
          <w:lang w:val="sr-Cyrl-RS"/>
        </w:rPr>
        <w:t xml:space="preserve"> токсичност</w:t>
      </w:r>
      <w:r w:rsidR="001805CE" w:rsidRPr="00FD32EC">
        <w:rPr>
          <w:rFonts w:eastAsia="Times New Roman"/>
          <w:sz w:val="22"/>
          <w:szCs w:val="22"/>
          <w:lang w:val="sr-Cyrl-RS"/>
        </w:rPr>
        <w:t xml:space="preserve"> није узета у обзир</w:t>
      </w:r>
      <w:r w:rsidR="00A610D1" w:rsidRPr="00FD32EC">
        <w:rPr>
          <w:rFonts w:eastAsia="Times New Roman"/>
          <w:sz w:val="22"/>
          <w:szCs w:val="22"/>
          <w:lang w:val="sr-Cyrl-RS"/>
        </w:rPr>
        <w:t>.</w:t>
      </w:r>
    </w:p>
    <w:p w14:paraId="61D514C1" w14:textId="442C2A1C" w:rsidR="00A02826" w:rsidRPr="00FD32EC" w:rsidRDefault="00A02826" w:rsidP="0054763C">
      <w:p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br w:type="page"/>
      </w:r>
    </w:p>
    <w:p w14:paraId="5C9E9623" w14:textId="271929AE" w:rsidR="00F67821" w:rsidRPr="00FD32EC" w:rsidRDefault="005B7218" w:rsidP="0054763C">
      <w:p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>ПРИЛОГ 2</w:t>
      </w:r>
    </w:p>
    <w:p w14:paraId="4AF2AE3B" w14:textId="5F9319AD" w:rsidR="00F67821" w:rsidRPr="00FD32EC" w:rsidRDefault="00F67821" w:rsidP="0054763C">
      <w:pPr>
        <w:spacing w:after="120"/>
        <w:rPr>
          <w:rFonts w:eastAsia="Times New Roman"/>
          <w:b/>
          <w:lang w:val="sr-Cyrl-RS" w:eastAsia="sr-Latn-RS"/>
        </w:rPr>
      </w:pPr>
      <w:r w:rsidRPr="00FD32EC">
        <w:rPr>
          <w:rFonts w:eastAsia="Times New Roman"/>
          <w:b/>
          <w:lang w:val="sr-Cyrl-RS" w:eastAsia="sr-Latn-RS"/>
        </w:rPr>
        <w:t>Дефиниција и употреба гама индекса грађевинских материјала из чл</w:t>
      </w:r>
      <w:r w:rsidR="002915F2" w:rsidRPr="00FD32EC">
        <w:rPr>
          <w:rFonts w:eastAsia="Times New Roman"/>
          <w:b/>
          <w:lang w:val="sr-Cyrl-RS" w:eastAsia="sr-Latn-RS"/>
        </w:rPr>
        <w:t>анова 4 и</w:t>
      </w:r>
      <w:r w:rsidR="00BE2F9F" w:rsidRPr="00FD32EC">
        <w:rPr>
          <w:rFonts w:eastAsia="Times New Roman"/>
          <w:b/>
          <w:lang w:val="sr-Cyrl-RS" w:eastAsia="sr-Latn-RS"/>
        </w:rPr>
        <w:t xml:space="preserve"> </w:t>
      </w:r>
      <w:r w:rsidR="004D7D7E" w:rsidRPr="00FD32EC">
        <w:rPr>
          <w:rFonts w:eastAsia="Times New Roman"/>
          <w:b/>
          <w:lang w:val="sr-Cyrl-RS" w:eastAsia="sr-Latn-RS"/>
        </w:rPr>
        <w:t>13</w:t>
      </w:r>
      <w:r w:rsidRPr="00FD32EC">
        <w:rPr>
          <w:rFonts w:eastAsia="Times New Roman"/>
          <w:b/>
          <w:lang w:val="sr-Cyrl-RS" w:eastAsia="sr-Latn-RS"/>
        </w:rPr>
        <w:t>.</w:t>
      </w:r>
      <w:r w:rsidR="000413C5" w:rsidRPr="00FD32EC">
        <w:rPr>
          <w:rFonts w:eastAsia="Times New Roman"/>
          <w:b/>
          <w:lang w:val="sr-Cyrl-RS" w:eastAsia="sr-Latn-RS"/>
        </w:rPr>
        <w:t xml:space="preserve"> и упутство о примени гама индекса</w:t>
      </w:r>
    </w:p>
    <w:p w14:paraId="5B12EE64" w14:textId="77777777" w:rsidR="0039769A" w:rsidRPr="00FD32EC" w:rsidRDefault="00235E9F" w:rsidP="0054763C">
      <w:pPr>
        <w:spacing w:after="120"/>
        <w:jc w:val="both"/>
        <w:rPr>
          <w:rFonts w:eastAsia="Times New Roman"/>
          <w:bCs/>
          <w:lang w:val="sr-Cyrl-RS" w:eastAsia="sr-Latn-RS"/>
        </w:rPr>
      </w:pPr>
      <w:r w:rsidRPr="00FD32EC">
        <w:rPr>
          <w:rFonts w:eastAsia="Times New Roman"/>
          <w:bCs/>
          <w:lang w:val="sr-Cyrl-RS" w:eastAsia="sr-Latn-RS"/>
        </w:rPr>
        <w:t>Ради спровођења одредби члана 15</w:t>
      </w:r>
      <w:r w:rsidR="004A4F89" w:rsidRPr="00FD32EC">
        <w:rPr>
          <w:rFonts w:eastAsia="Times New Roman"/>
          <w:bCs/>
          <w:lang w:val="sr-Cyrl-RS" w:eastAsia="sr-Latn-RS"/>
        </w:rPr>
        <w:t xml:space="preserve"> у грађевинским материјалима се врши одређивање садржаја следећих природних радионуклида: </w:t>
      </w:r>
      <w:r w:rsidR="004A4F89" w:rsidRPr="00FD32EC">
        <w:t>Ra-226, Th-232 (</w:t>
      </w:r>
      <w:r w:rsidR="004A4F89" w:rsidRPr="00FD32EC">
        <w:rPr>
          <w:lang w:val="sr-Cyrl-RS"/>
        </w:rPr>
        <w:t>или</w:t>
      </w:r>
      <w:r w:rsidR="004A4F89" w:rsidRPr="00FD32EC">
        <w:t xml:space="preserve"> Ra-228) </w:t>
      </w:r>
      <w:r w:rsidR="004A4F89" w:rsidRPr="00FD32EC">
        <w:rPr>
          <w:lang w:val="sr-Cyrl-RS"/>
        </w:rPr>
        <w:t>и</w:t>
      </w:r>
      <w:r w:rsidR="004A4F89" w:rsidRPr="00FD32EC">
        <w:t xml:space="preserve"> K-40</w:t>
      </w:r>
      <w:r w:rsidR="004A4F89" w:rsidRPr="00FD32EC">
        <w:rPr>
          <w:lang w:val="sr-Cyrl-RS"/>
        </w:rPr>
        <w:t xml:space="preserve"> и на основу добијених вредности израчунава гама индекс према </w:t>
      </w:r>
      <w:r w:rsidR="00EC7BE1" w:rsidRPr="00FD32EC">
        <w:rPr>
          <w:lang w:val="sr-Cyrl-RS"/>
        </w:rPr>
        <w:t>једначини:</w:t>
      </w:r>
    </w:p>
    <w:p w14:paraId="00504DD2" w14:textId="6067C7E6" w:rsidR="007D3E28" w:rsidRPr="00FD32EC" w:rsidRDefault="007D3E28" w:rsidP="0054763C">
      <w:pPr>
        <w:spacing w:after="120"/>
        <w:jc w:val="center"/>
        <w:rPr>
          <w:lang w:val="sr-Cyrl-RS"/>
        </w:rPr>
      </w:pPr>
    </w:p>
    <w:p w14:paraId="2BAA0487" w14:textId="21E27671" w:rsidR="00380601" w:rsidRPr="00FD32EC" w:rsidRDefault="00380601" w:rsidP="00380601">
      <w:pPr>
        <w:spacing w:after="120"/>
        <w:jc w:val="center"/>
        <w:rPr>
          <w:rFonts w:eastAsia="Times New Roman"/>
          <w:lang w:val="sr-Cyrl-RS" w:eastAsia="sr-Latn-RS"/>
        </w:rPr>
      </w:pPr>
      <w:r w:rsidRPr="00FD32EC">
        <w:rPr>
          <w:position w:val="-28"/>
        </w:rPr>
        <w:object w:dxaOrig="4140" w:dyaOrig="660" w14:anchorId="180C51C7">
          <v:shape id="_x0000_i1026" type="#_x0000_t75" style="width:207.25pt;height:33.8pt" o:ole="">
            <v:imagedata r:id="rId10" o:title=""/>
          </v:shape>
          <o:OLEObject Type="Embed" ProgID="Equation.DSMT4" ShapeID="_x0000_i1026" DrawAspect="Content" ObjectID="_1782727771" r:id="rId11"/>
        </w:object>
      </w:r>
    </w:p>
    <w:p w14:paraId="17C5BDBA" w14:textId="77777777" w:rsidR="00380601" w:rsidRPr="00FD32EC" w:rsidRDefault="00380601" w:rsidP="0054763C">
      <w:pPr>
        <w:spacing w:after="120"/>
        <w:jc w:val="center"/>
        <w:rPr>
          <w:rFonts w:eastAsia="Times New Roman"/>
          <w:lang w:val="sr-Cyrl-RS" w:eastAsia="sr-Latn-RS"/>
        </w:rPr>
      </w:pPr>
    </w:p>
    <w:p w14:paraId="23C61C73" w14:textId="77777777" w:rsidR="00F67821" w:rsidRPr="00FD32EC" w:rsidRDefault="00F67821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где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су</w:t>
      </w:r>
      <w:proofErr w:type="spellEnd"/>
      <w:r w:rsidRPr="00FD32EC">
        <w:rPr>
          <w:rFonts w:eastAsia="Times New Roman"/>
          <w:lang w:eastAsia="sr-Latn-RS"/>
        </w:rPr>
        <w:t xml:space="preserve">: </w:t>
      </w:r>
    </w:p>
    <w:p w14:paraId="023E333C" w14:textId="77777777" w:rsidR="00F67821" w:rsidRPr="00FD32EC" w:rsidRDefault="00F67821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i/>
        </w:rPr>
        <w:t>C</w:t>
      </w:r>
      <w:r w:rsidRPr="00FD32EC">
        <w:rPr>
          <w:rFonts w:eastAsia="Times New Roman"/>
          <w:vertAlign w:val="subscript"/>
          <w:lang w:eastAsia="sr-Latn-RS"/>
        </w:rPr>
        <w:t>Rа</w:t>
      </w:r>
      <w:proofErr w:type="spellEnd"/>
      <w:r w:rsidRPr="00FD32EC">
        <w:rPr>
          <w:rFonts w:eastAsia="Times New Roman"/>
          <w:lang w:eastAsia="sr-Latn-RS"/>
        </w:rPr>
        <w:t xml:space="preserve"> - </w:t>
      </w:r>
      <w:proofErr w:type="spellStart"/>
      <w:r w:rsidRPr="00FD32EC">
        <w:rPr>
          <w:rFonts w:eastAsia="Times New Roman"/>
          <w:lang w:eastAsia="sr-Latn-RS"/>
        </w:rPr>
        <w:t>концентрација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радијума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226</w:t>
      </w:r>
      <w:r w:rsidR="0039769A" w:rsidRPr="00FD32EC">
        <w:rPr>
          <w:rFonts w:eastAsia="Times New Roman"/>
          <w:lang w:eastAsia="sr-Latn-RS"/>
        </w:rPr>
        <w:t>Ra</w:t>
      </w:r>
      <w:r w:rsidRPr="00FD32EC">
        <w:rPr>
          <w:rFonts w:eastAsia="Times New Roman"/>
          <w:lang w:eastAsia="sr-Latn-RS"/>
        </w:rPr>
        <w:t xml:space="preserve">) у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; </w:t>
      </w:r>
    </w:p>
    <w:p w14:paraId="2740434A" w14:textId="77777777" w:rsidR="00F67821" w:rsidRPr="00FD32EC" w:rsidRDefault="00F67821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i/>
        </w:rPr>
        <w:t>C</w:t>
      </w:r>
      <w:r w:rsidRPr="00FD32EC">
        <w:rPr>
          <w:rFonts w:eastAsia="Times New Roman"/>
          <w:vertAlign w:val="subscript"/>
          <w:lang w:eastAsia="sr-Latn-RS"/>
        </w:rPr>
        <w:t>Тh</w:t>
      </w:r>
      <w:proofErr w:type="spellEnd"/>
      <w:r w:rsidRPr="00FD32EC">
        <w:rPr>
          <w:rFonts w:eastAsia="Times New Roman"/>
          <w:lang w:eastAsia="sr-Latn-RS"/>
        </w:rPr>
        <w:t xml:space="preserve"> - </w:t>
      </w:r>
      <w:proofErr w:type="spellStart"/>
      <w:r w:rsidRPr="00FD32EC">
        <w:rPr>
          <w:rFonts w:eastAsia="Times New Roman"/>
          <w:lang w:eastAsia="sr-Latn-RS"/>
        </w:rPr>
        <w:t>концентрација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торијума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232</w:t>
      </w:r>
      <w:r w:rsidRPr="00FD32EC">
        <w:rPr>
          <w:rFonts w:eastAsia="Times New Roman"/>
          <w:lang w:eastAsia="sr-Latn-RS"/>
        </w:rPr>
        <w:t>Т</w:t>
      </w:r>
      <w:r w:rsidR="0039769A" w:rsidRPr="00FD32EC">
        <w:rPr>
          <w:rFonts w:eastAsia="Times New Roman"/>
          <w:lang w:eastAsia="sr-Latn-RS"/>
        </w:rPr>
        <w:t>h</w:t>
      </w:r>
      <w:r w:rsidRPr="00FD32EC">
        <w:rPr>
          <w:rFonts w:eastAsia="Times New Roman"/>
          <w:lang w:eastAsia="sr-Latn-RS"/>
        </w:rPr>
        <w:t xml:space="preserve">) у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; </w:t>
      </w:r>
    </w:p>
    <w:p w14:paraId="67623417" w14:textId="4D06B41A" w:rsidR="00F67821" w:rsidRPr="00FD32EC" w:rsidRDefault="00F67821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rFonts w:eastAsia="Times New Roman"/>
          <w:i/>
          <w:iCs/>
          <w:lang w:eastAsia="sr-Latn-RS"/>
        </w:rPr>
        <w:t>C</w:t>
      </w:r>
      <w:r w:rsidR="00380601" w:rsidRPr="00FD32EC">
        <w:rPr>
          <w:rFonts w:eastAsia="Times New Roman"/>
          <w:vertAlign w:val="subscript"/>
          <w:lang w:eastAsia="sr-Latn-RS"/>
        </w:rPr>
        <w:t>K</w:t>
      </w:r>
      <w:r w:rsidRPr="00FD32EC">
        <w:rPr>
          <w:rFonts w:eastAsia="Times New Roman"/>
          <w:vertAlign w:val="subscript"/>
          <w:lang w:eastAsia="sr-Latn-RS"/>
        </w:rPr>
        <w:t xml:space="preserve"> </w:t>
      </w:r>
      <w:r w:rsidRPr="00FD32EC">
        <w:rPr>
          <w:rFonts w:eastAsia="Times New Roman"/>
          <w:lang w:eastAsia="sr-Latn-RS"/>
        </w:rPr>
        <w:t xml:space="preserve">- </w:t>
      </w:r>
      <w:proofErr w:type="spellStart"/>
      <w:r w:rsidRPr="00FD32EC">
        <w:rPr>
          <w:rFonts w:eastAsia="Times New Roman"/>
          <w:lang w:eastAsia="sr-Latn-RS"/>
        </w:rPr>
        <w:t>концентрација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калијума</w:t>
      </w:r>
      <w:proofErr w:type="spellEnd"/>
      <w:r w:rsidRPr="00FD32EC">
        <w:rPr>
          <w:rFonts w:eastAsia="Times New Roman"/>
          <w:lang w:eastAsia="sr-Latn-RS"/>
        </w:rPr>
        <w:t xml:space="preserve"> (</w:t>
      </w:r>
      <w:r w:rsidRPr="00FD32EC">
        <w:rPr>
          <w:rFonts w:eastAsia="Times New Roman"/>
          <w:vertAlign w:val="superscript"/>
          <w:lang w:eastAsia="sr-Latn-RS"/>
        </w:rPr>
        <w:t>40</w:t>
      </w:r>
      <w:r w:rsidR="00380601" w:rsidRPr="00FD32EC">
        <w:rPr>
          <w:rFonts w:eastAsia="Times New Roman"/>
          <w:lang w:eastAsia="sr-Latn-RS"/>
        </w:rPr>
        <w:t>K</w:t>
      </w:r>
      <w:r w:rsidR="005C33F6" w:rsidRPr="00FD32EC">
        <w:rPr>
          <w:rFonts w:eastAsia="Times New Roman"/>
          <w:lang w:eastAsia="sr-Latn-RS"/>
        </w:rPr>
        <w:t xml:space="preserve">) у </w:t>
      </w:r>
      <w:proofErr w:type="spellStart"/>
      <w:r w:rsidR="005C33F6" w:rsidRPr="00FD32EC">
        <w:rPr>
          <w:rFonts w:eastAsia="Times New Roman"/>
          <w:lang w:eastAsia="sr-Latn-RS"/>
        </w:rPr>
        <w:t>Bq</w:t>
      </w:r>
      <w:proofErr w:type="spellEnd"/>
      <w:r w:rsidR="005C33F6"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="005C33F6" w:rsidRPr="00FD32EC">
        <w:rPr>
          <w:rFonts w:eastAsia="Times New Roman"/>
          <w:lang w:eastAsia="sr-Latn-RS"/>
        </w:rPr>
        <w:t xml:space="preserve">. </w:t>
      </w:r>
    </w:p>
    <w:p w14:paraId="3D754EC4" w14:textId="6CEEC3AF" w:rsidR="00785AC2" w:rsidRPr="00FD32EC" w:rsidRDefault="007213B4" w:rsidP="0054763C">
      <w:pPr>
        <w:spacing w:after="120"/>
        <w:jc w:val="both"/>
        <w:rPr>
          <w:lang w:val="sr-Cyrl-RS"/>
        </w:rPr>
      </w:pPr>
      <w:r w:rsidRPr="00FD32EC">
        <w:rPr>
          <w:lang w:val="sr-Cyrl-RS"/>
        </w:rPr>
        <w:t>Гама и</w:t>
      </w:r>
      <w:r w:rsidR="00785AC2" w:rsidRPr="00FD32EC">
        <w:rPr>
          <w:lang w:val="sr-Cyrl-RS"/>
        </w:rPr>
        <w:t>ндекс се односи на дозу гама</w:t>
      </w:r>
      <w:r w:rsidR="00CE1EAB" w:rsidRPr="00FD32EC">
        <w:rPr>
          <w:lang w:val="sr-Cyrl-RS"/>
        </w:rPr>
        <w:t xml:space="preserve"> </w:t>
      </w:r>
      <w:r w:rsidR="00785AC2" w:rsidRPr="00FD32EC">
        <w:rPr>
          <w:lang w:val="sr-Cyrl-RS"/>
        </w:rPr>
        <w:t xml:space="preserve">зрачења, </w:t>
      </w:r>
      <w:r w:rsidR="005E1BC4" w:rsidRPr="00FD32EC">
        <w:rPr>
          <w:lang w:val="sr-Cyrl-RS"/>
        </w:rPr>
        <w:t>изнад</w:t>
      </w:r>
      <w:r w:rsidR="00785AC2" w:rsidRPr="00FD32EC">
        <w:rPr>
          <w:lang w:val="sr-Cyrl-RS"/>
        </w:rPr>
        <w:t xml:space="preserve"> уобичајеног излагања зрачењу на отвореном, у згради изграђеној </w:t>
      </w:r>
      <w:r w:rsidR="0074361E" w:rsidRPr="00FD32EC">
        <w:rPr>
          <w:lang w:val="sr-Cyrl-RS"/>
        </w:rPr>
        <w:t xml:space="preserve">од </w:t>
      </w:r>
      <w:r w:rsidR="00785AC2" w:rsidRPr="00FD32EC">
        <w:rPr>
          <w:lang w:val="sr-Cyrl-RS"/>
        </w:rPr>
        <w:t>грађевинског материјала</w:t>
      </w:r>
      <w:r w:rsidRPr="00FD32EC">
        <w:rPr>
          <w:lang w:val="sr-Cyrl-RS"/>
        </w:rPr>
        <w:t xml:space="preserve"> за који се рачуна индекс</w:t>
      </w:r>
      <w:r w:rsidR="00785AC2" w:rsidRPr="00FD32EC">
        <w:rPr>
          <w:lang w:val="sr-Cyrl-RS"/>
        </w:rPr>
        <w:t xml:space="preserve">. Индекс се примењује на грађевински материјал, а не на његове </w:t>
      </w:r>
      <w:r w:rsidR="007D50D9" w:rsidRPr="00FD32EC">
        <w:rPr>
          <w:lang w:val="sr-Cyrl-RS"/>
        </w:rPr>
        <w:t>компоненте</w:t>
      </w:r>
      <w:r w:rsidR="00785AC2" w:rsidRPr="00FD32EC">
        <w:rPr>
          <w:lang w:val="sr-Cyrl-RS"/>
        </w:rPr>
        <w:t>, осим у случају када т</w:t>
      </w:r>
      <w:r w:rsidR="00356809" w:rsidRPr="00FD32EC">
        <w:rPr>
          <w:lang w:val="sr-Cyrl-RS"/>
        </w:rPr>
        <w:t>е</w:t>
      </w:r>
      <w:r w:rsidR="00785AC2" w:rsidRPr="00FD32EC">
        <w:rPr>
          <w:lang w:val="sr-Cyrl-RS"/>
        </w:rPr>
        <w:t xml:space="preserve"> </w:t>
      </w:r>
      <w:r w:rsidR="00356809" w:rsidRPr="00FD32EC">
        <w:rPr>
          <w:lang w:val="sr-Cyrl-RS"/>
        </w:rPr>
        <w:t>компоненте</w:t>
      </w:r>
      <w:r w:rsidR="00785AC2" w:rsidRPr="00FD32EC">
        <w:rPr>
          <w:lang w:val="sr-Cyrl-RS"/>
        </w:rPr>
        <w:t xml:space="preserve"> </w:t>
      </w:r>
      <w:r w:rsidR="00785AC2" w:rsidRPr="00FD32EC">
        <w:rPr>
          <w:lang w:val="sr-Cyrl-CS"/>
        </w:rPr>
        <w:t xml:space="preserve">и </w:t>
      </w:r>
      <w:r w:rsidR="00785AC2" w:rsidRPr="00FD32EC">
        <w:rPr>
          <w:lang w:val="sr-Cyrl-RS"/>
        </w:rPr>
        <w:t>сам</w:t>
      </w:r>
      <w:r w:rsidR="00356809" w:rsidRPr="00FD32EC">
        <w:rPr>
          <w:lang w:val="sr-Cyrl-RS"/>
        </w:rPr>
        <w:t>е</w:t>
      </w:r>
      <w:r w:rsidR="00785AC2" w:rsidRPr="00FD32EC">
        <w:rPr>
          <w:lang w:val="sr-Cyrl-RS"/>
        </w:rPr>
        <w:t xml:space="preserve"> </w:t>
      </w:r>
      <w:r w:rsidR="00785AC2" w:rsidRPr="00FD32EC">
        <w:rPr>
          <w:lang w:val="sr-Cyrl-CS"/>
        </w:rPr>
        <w:t xml:space="preserve">представљају </w:t>
      </w:r>
      <w:proofErr w:type="spellStart"/>
      <w:r w:rsidR="00785AC2" w:rsidRPr="00FD32EC">
        <w:rPr>
          <w:lang w:val="sr-Cyrl-RS"/>
        </w:rPr>
        <w:t>грађевинск</w:t>
      </w:r>
      <w:proofErr w:type="spellEnd"/>
      <w:r w:rsidR="00785AC2" w:rsidRPr="00FD32EC">
        <w:rPr>
          <w:lang w:val="sr-Cyrl-CS"/>
        </w:rPr>
        <w:t>е</w:t>
      </w:r>
      <w:r w:rsidR="00785AC2" w:rsidRPr="00FD32EC">
        <w:rPr>
          <w:lang w:val="sr-Cyrl-RS"/>
        </w:rPr>
        <w:t xml:space="preserve"> материјал</w:t>
      </w:r>
      <w:r w:rsidR="00785AC2" w:rsidRPr="00FD32EC">
        <w:rPr>
          <w:lang w:val="sr-Cyrl-CS"/>
        </w:rPr>
        <w:t>е</w:t>
      </w:r>
      <w:r w:rsidR="00785AC2" w:rsidRPr="00FD32EC">
        <w:rPr>
          <w:lang w:val="sr-Cyrl-RS"/>
        </w:rPr>
        <w:t xml:space="preserve"> и посебно се процењују као такв</w:t>
      </w:r>
      <w:r w:rsidR="00356809" w:rsidRPr="00FD32EC">
        <w:rPr>
          <w:lang w:val="sr-Cyrl-RS"/>
        </w:rPr>
        <w:t>е</w:t>
      </w:r>
      <w:r w:rsidR="00B122CB" w:rsidRPr="00FD32EC">
        <w:t xml:space="preserve">. </w:t>
      </w:r>
      <w:r w:rsidR="00785AC2" w:rsidRPr="00FD32EC">
        <w:rPr>
          <w:lang w:val="sr-Cyrl-RS"/>
        </w:rPr>
        <w:t>За примену индекса на</w:t>
      </w:r>
      <w:r w:rsidR="007D50D9" w:rsidRPr="00FD32EC">
        <w:rPr>
          <w:lang w:val="sr-Cyrl-RS"/>
        </w:rPr>
        <w:t xml:space="preserve"> такве</w:t>
      </w:r>
      <w:r w:rsidR="00785AC2" w:rsidRPr="00FD32EC">
        <w:rPr>
          <w:lang w:val="sr-Cyrl-RS"/>
        </w:rPr>
        <w:t xml:space="preserve"> </w:t>
      </w:r>
      <w:r w:rsidR="00356809" w:rsidRPr="00FD32EC">
        <w:rPr>
          <w:lang w:val="sr-Cyrl-RS"/>
        </w:rPr>
        <w:t>компоненте</w:t>
      </w:r>
      <w:r w:rsidR="00785AC2" w:rsidRPr="00FD32EC">
        <w:rPr>
          <w:lang w:val="sr-Cyrl-RS"/>
        </w:rPr>
        <w:t xml:space="preserve">, нарочито </w:t>
      </w:r>
      <w:r w:rsidRPr="00FD32EC">
        <w:rPr>
          <w:lang w:val="sr-Cyrl-RS"/>
        </w:rPr>
        <w:t xml:space="preserve">на </w:t>
      </w:r>
      <w:r w:rsidR="00785AC2" w:rsidRPr="00FD32EC">
        <w:rPr>
          <w:lang w:val="sr-Cyrl-RS"/>
        </w:rPr>
        <w:t>остатке из индустрија које обрађују природни радиоактивни материјал рециклиран</w:t>
      </w:r>
      <w:r w:rsidRPr="00FD32EC">
        <w:rPr>
          <w:lang w:val="sr-Cyrl-RS"/>
        </w:rPr>
        <w:t>е</w:t>
      </w:r>
      <w:r w:rsidR="00785AC2" w:rsidRPr="00FD32EC">
        <w:rPr>
          <w:lang w:val="sr-Cyrl-RS"/>
        </w:rPr>
        <w:t xml:space="preserve"> у грађевински материјал, треба примењивати одговарајући фактор </w:t>
      </w:r>
      <w:r w:rsidR="00F47439" w:rsidRPr="00FD32EC">
        <w:rPr>
          <w:lang w:val="sr-Cyrl-RS"/>
        </w:rPr>
        <w:t>у</w:t>
      </w:r>
      <w:r w:rsidR="00785AC2" w:rsidRPr="00FD32EC">
        <w:rPr>
          <w:lang w:val="sr-Cyrl-RS"/>
        </w:rPr>
        <w:t>дел</w:t>
      </w:r>
      <w:r w:rsidR="00F47439" w:rsidRPr="00FD32EC">
        <w:rPr>
          <w:lang w:val="sr-Cyrl-RS"/>
        </w:rPr>
        <w:t>а</w:t>
      </w:r>
      <w:r w:rsidR="00B122CB" w:rsidRPr="00FD32EC">
        <w:t>.</w:t>
      </w:r>
      <w:r w:rsidR="00C7653D" w:rsidRPr="00FD32EC">
        <w:rPr>
          <w:lang w:val="sr-Cyrl-RS"/>
        </w:rPr>
        <w:t xml:space="preserve"> М</w:t>
      </w:r>
      <w:r w:rsidR="00CE1EAB" w:rsidRPr="00FD32EC">
        <w:rPr>
          <w:lang w:val="sr-Cyrl-RS"/>
        </w:rPr>
        <w:t>атеријал за који се утврди да има</w:t>
      </w:r>
      <w:r w:rsidR="00C7653D" w:rsidRPr="00FD32EC">
        <w:rPr>
          <w:lang w:val="sr-Cyrl-RS"/>
        </w:rPr>
        <w:t xml:space="preserve"> гама индекс једнак или већи од 1, може узроковати прекораче</w:t>
      </w:r>
      <w:r w:rsidR="00235E9F" w:rsidRPr="00FD32EC">
        <w:rPr>
          <w:lang w:val="sr-Cyrl-RS"/>
        </w:rPr>
        <w:t xml:space="preserve">ње референтног нивоа из члана </w:t>
      </w:r>
      <w:r w:rsidR="00D6372A" w:rsidRPr="00FD32EC">
        <w:rPr>
          <w:lang w:val="sr-Cyrl-RS"/>
        </w:rPr>
        <w:t>1</w:t>
      </w:r>
      <w:r w:rsidR="00F05DAF" w:rsidRPr="00FD32EC">
        <w:rPr>
          <w:lang w:val="sr-Cyrl-RS"/>
        </w:rPr>
        <w:t>5</w:t>
      </w:r>
      <w:r w:rsidR="00C7653D" w:rsidRPr="00FD32EC">
        <w:rPr>
          <w:lang w:val="sr-Cyrl-RS"/>
        </w:rPr>
        <w:t xml:space="preserve">. </w:t>
      </w:r>
      <w:r w:rsidR="00CE1EAB" w:rsidRPr="00FD32EC">
        <w:rPr>
          <w:lang w:val="sr-Cyrl-RS"/>
        </w:rPr>
        <w:t>К</w:t>
      </w:r>
      <w:r w:rsidR="00785AC2" w:rsidRPr="00FD32EC">
        <w:rPr>
          <w:lang w:val="sr-Cyrl-RS"/>
        </w:rPr>
        <w:t xml:space="preserve">ао конзервативни алат за скрининг којим се утврђују материјали који могу узроковати прекорачење референтног нивоа из члана </w:t>
      </w:r>
      <w:r w:rsidR="00D6372A" w:rsidRPr="00FD32EC">
        <w:rPr>
          <w:lang w:val="sr-Cyrl-RS"/>
        </w:rPr>
        <w:t>1</w:t>
      </w:r>
      <w:r w:rsidR="00F05DAF" w:rsidRPr="00FD32EC">
        <w:rPr>
          <w:lang w:val="sr-Cyrl-RS"/>
        </w:rPr>
        <w:t>5,</w:t>
      </w:r>
      <w:r w:rsidR="00CE1EAB" w:rsidRPr="00FD32EC">
        <w:rPr>
          <w:lang w:val="sr-Cyrl-RS"/>
        </w:rPr>
        <w:t xml:space="preserve"> може се користити вредност гама индекса од 1 (</w:t>
      </w:r>
      <w:r w:rsidR="00CE1EAB" w:rsidRPr="00FD32EC">
        <w:rPr>
          <w:i/>
        </w:rPr>
        <w:t>I </w:t>
      </w:r>
      <w:r w:rsidR="00CE1EAB" w:rsidRPr="00FD32EC">
        <w:t>= 1)</w:t>
      </w:r>
      <w:r w:rsidR="00785AC2" w:rsidRPr="00FD32EC">
        <w:rPr>
          <w:lang w:val="sr-Cyrl-RS"/>
        </w:rPr>
        <w:t xml:space="preserve">. </w:t>
      </w:r>
      <w:r w:rsidR="00785AC2" w:rsidRPr="00FD32EC">
        <w:rPr>
          <w:lang w:val="sr-Cyrl-CS"/>
        </w:rPr>
        <w:t>При и</w:t>
      </w:r>
      <w:proofErr w:type="spellStart"/>
      <w:r w:rsidR="00785AC2" w:rsidRPr="00FD32EC">
        <w:rPr>
          <w:lang w:val="sr-Cyrl-RS"/>
        </w:rPr>
        <w:t>зрачунавањ</w:t>
      </w:r>
      <w:proofErr w:type="spellEnd"/>
      <w:r w:rsidR="00785AC2" w:rsidRPr="00FD32EC">
        <w:rPr>
          <w:lang w:val="sr-Cyrl-CS"/>
        </w:rPr>
        <w:t>у</w:t>
      </w:r>
      <w:r w:rsidR="00785AC2" w:rsidRPr="00FD32EC">
        <w:rPr>
          <w:lang w:val="sr-Cyrl-RS"/>
        </w:rPr>
        <w:t xml:space="preserve"> дозе </w:t>
      </w:r>
      <w:r w:rsidR="00E86575" w:rsidRPr="00FD32EC">
        <w:rPr>
          <w:lang w:val="sr-Cyrl-RS"/>
        </w:rPr>
        <w:t xml:space="preserve">која потиче од грађевинског материјала </w:t>
      </w:r>
      <w:r w:rsidR="00785AC2" w:rsidRPr="00FD32EC">
        <w:rPr>
          <w:lang w:val="sr-Cyrl-RS"/>
        </w:rPr>
        <w:t>треба узети у обзир и друге факторе, као што су густина и дебљина материјала, као и факторе који се односе на врсту зграде и намену материјала (</w:t>
      </w:r>
      <w:r w:rsidR="00E86575" w:rsidRPr="00FD32EC">
        <w:rPr>
          <w:lang w:val="sr-Cyrl-RS"/>
        </w:rPr>
        <w:t xml:space="preserve">да ли се материјал користи </w:t>
      </w:r>
      <w:r w:rsidR="00F47439" w:rsidRPr="00FD32EC">
        <w:rPr>
          <w:lang w:val="sr-Cyrl-RS"/>
        </w:rPr>
        <w:t xml:space="preserve">у маси </w:t>
      </w:r>
      <w:r w:rsidR="00785AC2" w:rsidRPr="00FD32EC">
        <w:rPr>
          <w:lang w:val="sr-Cyrl-RS"/>
        </w:rPr>
        <w:t>или површински).</w:t>
      </w:r>
    </w:p>
    <w:p w14:paraId="585B8B12" w14:textId="77777777" w:rsidR="009E08E2" w:rsidRPr="00FD32EC" w:rsidRDefault="00232429" w:rsidP="0054763C">
      <w:pPr>
        <w:spacing w:after="120"/>
        <w:rPr>
          <w:rFonts w:eastAsia="Times New Roman"/>
          <w:lang w:val="sr-Cyrl-RS" w:eastAsia="sr-Latn-RS"/>
        </w:rPr>
      </w:pPr>
      <w:r w:rsidRPr="00FD32EC">
        <w:rPr>
          <w:rFonts w:eastAsia="Times New Roman"/>
          <w:lang w:val="sr-Cyrl-RS" w:eastAsia="sr-Latn-RS"/>
        </w:rPr>
        <w:t>Индикативна листа грађевинских материјала који се разматрају у смислу емитовања гама зр</w:t>
      </w:r>
      <w:r w:rsidR="00235E9F" w:rsidRPr="00FD32EC">
        <w:rPr>
          <w:rFonts w:eastAsia="Times New Roman"/>
          <w:lang w:val="sr-Cyrl-RS" w:eastAsia="sr-Latn-RS"/>
        </w:rPr>
        <w:t>ачења и примене одредби члана 15</w:t>
      </w:r>
      <w:r w:rsidRPr="00FD32EC">
        <w:rPr>
          <w:rFonts w:eastAsia="Times New Roman"/>
          <w:lang w:val="sr-Cyrl-RS" w:eastAsia="sr-Latn-RS"/>
        </w:rPr>
        <w:t>:</w:t>
      </w:r>
    </w:p>
    <w:p w14:paraId="4AF31186" w14:textId="77777777" w:rsidR="003C346C" w:rsidRPr="00FD32EC" w:rsidRDefault="009E08E2" w:rsidP="0054763C">
      <w:pPr>
        <w:pStyle w:val="ListParagraph"/>
        <w:numPr>
          <w:ilvl w:val="0"/>
          <w:numId w:val="6"/>
        </w:numPr>
        <w:tabs>
          <w:tab w:val="left" w:pos="357"/>
        </w:tabs>
        <w:spacing w:after="120"/>
        <w:rPr>
          <w:lang w:val="sr-Cyrl-RS"/>
        </w:rPr>
      </w:pPr>
      <w:r w:rsidRPr="00FD32EC">
        <w:rPr>
          <w:lang w:val="sr-Cyrl-RS"/>
        </w:rPr>
        <w:t>Природни материјали</w:t>
      </w:r>
    </w:p>
    <w:p w14:paraId="69F40F4E" w14:textId="77777777" w:rsidR="009E08E2" w:rsidRPr="00FD32EC" w:rsidRDefault="00AC7A6D" w:rsidP="0054763C">
      <w:pPr>
        <w:pStyle w:val="ListParagraph"/>
        <w:numPr>
          <w:ilvl w:val="1"/>
          <w:numId w:val="6"/>
        </w:numPr>
        <w:tabs>
          <w:tab w:val="left" w:pos="410"/>
        </w:tabs>
        <w:spacing w:after="120"/>
        <w:rPr>
          <w:lang w:val="sr-Cyrl-RS"/>
        </w:rPr>
      </w:pPr>
      <w:r w:rsidRPr="00FD32EC">
        <w:rPr>
          <w:lang w:val="sr-Cyrl-RS"/>
        </w:rPr>
        <w:t>а</w:t>
      </w:r>
      <w:r w:rsidR="009E08E2" w:rsidRPr="00FD32EC">
        <w:rPr>
          <w:lang w:val="sr-Cyrl-RS"/>
        </w:rPr>
        <w:t>луминијумски шкриљац</w:t>
      </w:r>
      <w:r w:rsidR="00E527C8" w:rsidRPr="00FD32EC">
        <w:rPr>
          <w:lang w:val="sr-Cyrl-RS"/>
        </w:rPr>
        <w:t>,</w:t>
      </w:r>
    </w:p>
    <w:p w14:paraId="52FC0411" w14:textId="77777777" w:rsidR="009E08E2" w:rsidRPr="00FD32EC" w:rsidRDefault="00AC7A6D" w:rsidP="0054763C">
      <w:pPr>
        <w:pStyle w:val="ListParagraph"/>
        <w:numPr>
          <w:ilvl w:val="1"/>
          <w:numId w:val="6"/>
        </w:numPr>
        <w:tabs>
          <w:tab w:val="left" w:pos="414"/>
        </w:tabs>
        <w:spacing w:after="120"/>
        <w:rPr>
          <w:lang w:val="sr-Cyrl-RS"/>
        </w:rPr>
      </w:pPr>
      <w:r w:rsidRPr="00FD32EC">
        <w:rPr>
          <w:lang w:val="sr-Cyrl-RS"/>
        </w:rPr>
        <w:t>г</w:t>
      </w:r>
      <w:r w:rsidR="009E08E2" w:rsidRPr="00FD32EC">
        <w:rPr>
          <w:lang w:val="sr-Cyrl-RS"/>
        </w:rPr>
        <w:t>рађевински материјали или адитиви природног вулканског порекла, као што су:</w:t>
      </w:r>
    </w:p>
    <w:p w14:paraId="2934ED20" w14:textId="77777777" w:rsidR="009E08E2" w:rsidRPr="00FD32EC" w:rsidRDefault="009E08E2" w:rsidP="0054763C">
      <w:pPr>
        <w:pStyle w:val="ListParagraph"/>
        <w:numPr>
          <w:ilvl w:val="2"/>
          <w:numId w:val="7"/>
        </w:numPr>
        <w:tabs>
          <w:tab w:val="left" w:pos="734"/>
        </w:tabs>
        <w:spacing w:after="120"/>
        <w:rPr>
          <w:lang w:val="sr-Cyrl-RS"/>
        </w:rPr>
      </w:pPr>
      <w:proofErr w:type="spellStart"/>
      <w:r w:rsidRPr="00FD32EC">
        <w:rPr>
          <w:lang w:val="sr-Cyrl-RS"/>
        </w:rPr>
        <w:t>гранитоиди</w:t>
      </w:r>
      <w:proofErr w:type="spellEnd"/>
      <w:r w:rsidRPr="00FD32EC">
        <w:rPr>
          <w:lang w:val="sr-Cyrl-RS"/>
        </w:rPr>
        <w:t xml:space="preserve"> (као што су гранит, </w:t>
      </w:r>
      <w:proofErr w:type="spellStart"/>
      <w:r w:rsidRPr="00FD32EC">
        <w:rPr>
          <w:lang w:val="sr-Cyrl-RS"/>
        </w:rPr>
        <w:t>с</w:t>
      </w:r>
      <w:r w:rsidR="00693F42" w:rsidRPr="00FD32EC">
        <w:rPr>
          <w:lang w:val="sr-Cyrl-RS"/>
        </w:rPr>
        <w:t>иј</w:t>
      </w:r>
      <w:r w:rsidRPr="00FD32EC">
        <w:rPr>
          <w:lang w:val="sr-Cyrl-RS"/>
        </w:rPr>
        <w:t>енит</w:t>
      </w:r>
      <w:proofErr w:type="spellEnd"/>
      <w:r w:rsidRPr="00FD32EC">
        <w:rPr>
          <w:lang w:val="sr-Cyrl-RS"/>
        </w:rPr>
        <w:t xml:space="preserve"> и </w:t>
      </w:r>
      <w:proofErr w:type="spellStart"/>
      <w:r w:rsidRPr="00FD32EC">
        <w:rPr>
          <w:lang w:val="sr-Cyrl-RS"/>
        </w:rPr>
        <w:t>ортогнајс</w:t>
      </w:r>
      <w:proofErr w:type="spellEnd"/>
      <w:r w:rsidRPr="00FD32EC">
        <w:rPr>
          <w:lang w:val="sr-Cyrl-RS"/>
        </w:rPr>
        <w:t>)</w:t>
      </w:r>
      <w:r w:rsidR="00AF7942" w:rsidRPr="00FD32EC">
        <w:t>;</w:t>
      </w:r>
      <w:r w:rsidR="00E527C8" w:rsidRPr="00FD32EC">
        <w:rPr>
          <w:lang w:val="sr-Cyrl-RS"/>
        </w:rPr>
        <w:t xml:space="preserve"> </w:t>
      </w:r>
      <w:r w:rsidRPr="00FD32EC">
        <w:rPr>
          <w:lang w:val="sr-Cyrl-RS"/>
        </w:rPr>
        <w:t>порфири;</w:t>
      </w:r>
      <w:r w:rsidR="00E527C8" w:rsidRPr="00FD32EC">
        <w:rPr>
          <w:lang w:val="sr-Cyrl-RS"/>
        </w:rPr>
        <w:t xml:space="preserve"> </w:t>
      </w:r>
      <w:proofErr w:type="spellStart"/>
      <w:r w:rsidRPr="00FD32EC">
        <w:rPr>
          <w:lang w:val="sr-Cyrl-RS"/>
        </w:rPr>
        <w:t>седрапуцолан</w:t>
      </w:r>
      <w:proofErr w:type="spellEnd"/>
      <w:r w:rsidRPr="00FD32EC">
        <w:rPr>
          <w:lang w:val="sr-Cyrl-RS"/>
        </w:rPr>
        <w:t xml:space="preserve"> (</w:t>
      </w:r>
      <w:proofErr w:type="spellStart"/>
      <w:r w:rsidRPr="00FD32EC">
        <w:rPr>
          <w:lang w:val="sr-Cyrl-RS"/>
        </w:rPr>
        <w:t>пуцолански</w:t>
      </w:r>
      <w:proofErr w:type="spellEnd"/>
      <w:r w:rsidRPr="00FD32EC">
        <w:rPr>
          <w:lang w:val="sr-Cyrl-RS"/>
        </w:rPr>
        <w:t xml:space="preserve"> прах);</w:t>
      </w:r>
      <w:r w:rsidR="00E527C8" w:rsidRPr="00FD32EC">
        <w:rPr>
          <w:lang w:val="sr-Cyrl-RS"/>
        </w:rPr>
        <w:t xml:space="preserve"> </w:t>
      </w:r>
      <w:r w:rsidRPr="00FD32EC">
        <w:rPr>
          <w:lang w:val="sr-Cyrl-RS"/>
        </w:rPr>
        <w:t>лава.</w:t>
      </w:r>
    </w:p>
    <w:p w14:paraId="6E799C25" w14:textId="77777777" w:rsidR="00764B36" w:rsidRPr="00FD32EC" w:rsidRDefault="009E08E2" w:rsidP="0054763C">
      <w:pPr>
        <w:pStyle w:val="ListParagraph"/>
        <w:numPr>
          <w:ilvl w:val="0"/>
          <w:numId w:val="6"/>
        </w:numPr>
        <w:tabs>
          <w:tab w:val="left" w:pos="362"/>
        </w:tabs>
        <w:spacing w:after="120"/>
        <w:rPr>
          <w:lang w:val="sr-Cyrl-RS"/>
        </w:rPr>
      </w:pPr>
      <w:r w:rsidRPr="00FD32EC">
        <w:rPr>
          <w:lang w:val="sr-Cyrl-RS"/>
        </w:rPr>
        <w:t xml:space="preserve">Материјали који садрже остатке индустрија које обрађују природни радиоактивни материјал, као што су: </w:t>
      </w:r>
    </w:p>
    <w:p w14:paraId="4A682822" w14:textId="77777777" w:rsidR="009E08E2" w:rsidRPr="00FD32EC" w:rsidRDefault="009E08E2" w:rsidP="0054763C">
      <w:pPr>
        <w:pStyle w:val="ListParagraph"/>
        <w:numPr>
          <w:ilvl w:val="2"/>
          <w:numId w:val="6"/>
        </w:numPr>
        <w:tabs>
          <w:tab w:val="left" w:pos="362"/>
        </w:tabs>
        <w:spacing w:after="120"/>
        <w:rPr>
          <w:lang w:val="sr-Cyrl-RS"/>
        </w:rPr>
      </w:pPr>
      <w:r w:rsidRPr="00FD32EC">
        <w:rPr>
          <w:lang w:val="sr-Cyrl-RS"/>
        </w:rPr>
        <w:t>летећи пепео</w:t>
      </w:r>
      <w:r w:rsidR="00AC7A6D" w:rsidRPr="00FD32EC">
        <w:rPr>
          <w:lang w:val="sr-Cyrl-RS"/>
        </w:rPr>
        <w:t xml:space="preserve">; </w:t>
      </w:r>
      <w:r w:rsidRPr="00FD32EC">
        <w:rPr>
          <w:lang w:val="sr-Cyrl-RS"/>
        </w:rPr>
        <w:t>фосфорни гипс; фосфорна шљака; калај шљака; бакарна шљака</w:t>
      </w:r>
      <w:r w:rsidR="00AC7A6D" w:rsidRPr="00FD32EC">
        <w:rPr>
          <w:lang w:val="sr-Cyrl-RS"/>
        </w:rPr>
        <w:t xml:space="preserve">; </w:t>
      </w:r>
      <w:r w:rsidRPr="00FD32EC">
        <w:rPr>
          <w:lang w:val="sr-Cyrl-RS"/>
        </w:rPr>
        <w:t>црвени муљ (остаци од производње алуминијума); остаци од производње челика</w:t>
      </w:r>
      <w:r w:rsidR="00E57952" w:rsidRPr="00FD32EC">
        <w:rPr>
          <w:lang w:val="sr-Cyrl-RS"/>
        </w:rPr>
        <w:t>.</w:t>
      </w:r>
    </w:p>
    <w:p w14:paraId="19EECFD5" w14:textId="77777777" w:rsidR="00F70742" w:rsidRPr="00FD32EC" w:rsidRDefault="005B7218">
      <w:pPr>
        <w:rPr>
          <w:rFonts w:eastAsia="Times New Roman"/>
          <w:b/>
          <w:lang w:val="sr-Cyrl-RS" w:eastAsia="sr-Latn-RS"/>
        </w:rPr>
        <w:pPrChange w:id="16" w:author="Ivana Avramović" w:date="2024-05-29T10:26:00Z" w16du:dateUtc="2024-05-29T08:26:00Z">
          <w:pPr>
            <w:spacing w:after="120"/>
          </w:pPr>
        </w:pPrChange>
      </w:pPr>
      <w:r w:rsidRPr="00FD32EC">
        <w:rPr>
          <w:rFonts w:eastAsia="Times New Roman"/>
          <w:b/>
          <w:lang w:val="sr-Cyrl-RS" w:eastAsia="sr-Latn-RS"/>
        </w:rPr>
        <w:br w:type="page"/>
      </w:r>
    </w:p>
    <w:p w14:paraId="25C3226A" w14:textId="77777777" w:rsidR="00F70742" w:rsidRPr="00FD32EC" w:rsidRDefault="00F70742" w:rsidP="0054763C">
      <w:pPr>
        <w:spacing w:after="120"/>
        <w:rPr>
          <w:rFonts w:eastAsia="Times New Roman"/>
          <w:b/>
          <w:lang w:val="sr-Cyrl-RS" w:eastAsia="sr-Latn-RS"/>
        </w:rPr>
      </w:pPr>
    </w:p>
    <w:p w14:paraId="18D88163" w14:textId="101B78E3" w:rsidR="00F67821" w:rsidRPr="00FD32EC" w:rsidRDefault="005B7218" w:rsidP="0054763C">
      <w:pPr>
        <w:spacing w:after="120"/>
        <w:rPr>
          <w:b/>
          <w:lang w:val="sr-Cyrl-RS"/>
        </w:rPr>
      </w:pPr>
      <w:r w:rsidRPr="00FD32EC">
        <w:rPr>
          <w:rFonts w:eastAsia="Times New Roman"/>
          <w:b/>
          <w:lang w:val="sr-Cyrl-RS" w:eastAsia="sr-Latn-RS"/>
        </w:rPr>
        <w:t>ПРИЛОГ 3</w:t>
      </w:r>
    </w:p>
    <w:p w14:paraId="44E86F0F" w14:textId="6ADF089E" w:rsidR="002A33E2" w:rsidRPr="00FD32EC" w:rsidRDefault="002A33E2" w:rsidP="0054763C">
      <w:pPr>
        <w:spacing w:after="120"/>
        <w:rPr>
          <w:rFonts w:eastAsia="Times New Roman"/>
          <w:lang w:val="sr-Cyrl-RS" w:eastAsia="sr-Latn-RS"/>
        </w:rPr>
      </w:pPr>
      <w:proofErr w:type="spellStart"/>
      <w:r w:rsidRPr="00FD32EC">
        <w:rPr>
          <w:rFonts w:eastAsia="Times New Roman"/>
          <w:lang w:eastAsia="sr-Latn-RS"/>
        </w:rPr>
        <w:t>Табела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F67821" w:rsidRPr="00FD32EC">
        <w:rPr>
          <w:rFonts w:eastAsia="Times New Roman"/>
          <w:lang w:val="sr-Cyrl-RS" w:eastAsia="sr-Latn-RS"/>
        </w:rPr>
        <w:t>1</w:t>
      </w:r>
      <w:r w:rsidRPr="00FD32EC">
        <w:rPr>
          <w:rFonts w:eastAsia="Times New Roman"/>
          <w:lang w:eastAsia="sr-Latn-RS"/>
        </w:rPr>
        <w:t xml:space="preserve">. </w:t>
      </w:r>
      <w:proofErr w:type="spellStart"/>
      <w:r w:rsidRPr="00FD32EC">
        <w:rPr>
          <w:rFonts w:eastAsia="Times New Roman"/>
          <w:lang w:eastAsia="sr-Latn-RS"/>
        </w:rPr>
        <w:t>Границе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радионуклида у </w:t>
      </w:r>
      <w:r w:rsidR="00AC7204" w:rsidRPr="00FD32EC">
        <w:rPr>
          <w:rFonts w:eastAsia="Times New Roman"/>
          <w:lang w:val="sr-Cyrl-RS" w:eastAsia="sr-Latn-RS"/>
        </w:rPr>
        <w:t>храни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после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DE312F" w:rsidRPr="00FD32EC">
        <w:rPr>
          <w:rFonts w:eastAsia="Times New Roman"/>
          <w:lang w:val="sr-Cyrl-RS" w:eastAsia="sr-Latn-RS"/>
        </w:rPr>
        <w:t>нуклеарн</w:t>
      </w:r>
      <w:r w:rsidR="00A02826" w:rsidRPr="00FD32EC">
        <w:rPr>
          <w:rFonts w:eastAsia="Times New Roman"/>
          <w:lang w:val="sr-Cyrl-RS" w:eastAsia="sr-Latn-RS"/>
        </w:rPr>
        <w:t xml:space="preserve">ог или </w:t>
      </w:r>
      <w:proofErr w:type="spellStart"/>
      <w:r w:rsidR="00A02826" w:rsidRPr="00FD32EC">
        <w:rPr>
          <w:rFonts w:eastAsia="Times New Roman"/>
          <w:lang w:val="sr-Cyrl-RS" w:eastAsia="sr-Latn-RS"/>
        </w:rPr>
        <w:t>радиолошког</w:t>
      </w:r>
      <w:proofErr w:type="spellEnd"/>
      <w:r w:rsidR="00A02826" w:rsidRPr="00FD32EC">
        <w:rPr>
          <w:rFonts w:eastAsia="Times New Roman"/>
          <w:lang w:val="sr-Cyrl-RS" w:eastAsia="sr-Latn-RS"/>
        </w:rPr>
        <w:t xml:space="preserve"> ванредног догађаја</w:t>
      </w:r>
      <w:r w:rsidR="00DE312F"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eastAsia="sr-Latn-RS"/>
        </w:rPr>
        <w:t>(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C37256" w:rsidRPr="00FD32EC">
        <w:rPr>
          <w:rFonts w:eastAsia="Times New Roman"/>
          <w:lang w:eastAsia="sr-Latn-RS"/>
        </w:rPr>
        <w:t>kg</w:t>
      </w:r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или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Bq</w:t>
      </w:r>
      <w:proofErr w:type="spellEnd"/>
      <w:r w:rsidRPr="00FD32EC">
        <w:rPr>
          <w:rFonts w:eastAsia="Times New Roman"/>
          <w:lang w:eastAsia="sr-Latn-RS"/>
        </w:rPr>
        <w:t>/</w:t>
      </w:r>
      <w:r w:rsidR="00A75AC2" w:rsidRPr="00FD32EC">
        <w:rPr>
          <w:rFonts w:eastAsia="Times New Roman"/>
          <w:lang w:eastAsia="sr-Latn-RS"/>
        </w:rPr>
        <w:t>l</w:t>
      </w:r>
      <w:r w:rsidRPr="00FD32EC">
        <w:rPr>
          <w:rFonts w:eastAsia="Times New Roman"/>
          <w:lang w:eastAsia="sr-Latn-RS"/>
        </w:rPr>
        <w:t xml:space="preserve">) </w:t>
      </w:r>
    </w:p>
    <w:tbl>
      <w:tblPr>
        <w:tblW w:w="4713" w:type="pct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731"/>
        <w:gridCol w:w="1046"/>
        <w:gridCol w:w="1159"/>
        <w:gridCol w:w="1278"/>
        <w:gridCol w:w="1098"/>
      </w:tblGrid>
      <w:tr w:rsidR="00FD32EC" w:rsidRPr="00FD32EC" w14:paraId="1EB7D57D" w14:textId="77777777" w:rsidTr="00144522">
        <w:trPr>
          <w:tblCellSpacing w:w="0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5FDA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 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FA0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vertAlign w:val="superscript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Храна за бебе</w:t>
            </w:r>
            <w:r w:rsidRPr="00FD32EC">
              <w:rPr>
                <w:rFonts w:eastAsia="Times New Roman"/>
                <w:b/>
                <w:sz w:val="22"/>
                <w:szCs w:val="22"/>
                <w:vertAlign w:val="superscript"/>
                <w:lang w:val="sr-Cyrl-RS" w:eastAsia="sr-Latn-RS"/>
              </w:rPr>
              <w:t>1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8B1F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Млеко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млечни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производи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82762" w14:textId="77777777" w:rsidR="006D3ABD" w:rsidRPr="00FD32EC" w:rsidRDefault="00AC7204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Храна</w:t>
            </w:r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>осим</w:t>
            </w:r>
            <w:proofErr w:type="spellEnd"/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>ређе</w:t>
            </w:r>
            <w:proofErr w:type="spellEnd"/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>коришћен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е</w:t>
            </w:r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хране</w:t>
            </w:r>
            <w:r w:rsidR="006D3ABD"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BD603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vertAlign w:val="superscript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Течна храна</w:t>
            </w:r>
            <w:r w:rsidR="00AF7942" w:rsidRPr="00FD32EC">
              <w:rPr>
                <w:rFonts w:eastAsia="Times New Roman"/>
                <w:sz w:val="22"/>
                <w:szCs w:val="22"/>
                <w:vertAlign w:val="superscript"/>
                <w:lang w:val="sr-Cyrl-RS" w:eastAsia="sr-Latn-RS"/>
              </w:rPr>
              <w:t>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EADC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Ређе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коришћен</w:t>
            </w:r>
            <w:proofErr w:type="spellEnd"/>
            <w:r w:rsidR="00AC7204"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а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="00AC7204"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храна</w:t>
            </w:r>
            <w:r w:rsidRPr="00FD32EC">
              <w:rPr>
                <w:rFonts w:eastAsia="Times New Roman"/>
                <w:sz w:val="22"/>
                <w:szCs w:val="22"/>
                <w:vertAlign w:val="superscript"/>
                <w:lang w:val="sr-Cyrl-RS" w:eastAsia="sr-Latn-RS"/>
              </w:rPr>
              <w:t>3</w:t>
            </w:r>
          </w:p>
        </w:tc>
      </w:tr>
      <w:tr w:rsidR="00FD32EC" w:rsidRPr="00FD32EC" w14:paraId="744642A1" w14:textId="77777777" w:rsidTr="00144522">
        <w:trPr>
          <w:tblCellSpacing w:w="0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5CE8A" w14:textId="77777777" w:rsidR="006D3ABD" w:rsidRPr="00FD32EC" w:rsidRDefault="006D3ABD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Изотопи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стронцијума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нарочито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90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Sr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14B7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75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EB14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125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EFF62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750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3761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125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169D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7500 </w:t>
            </w:r>
          </w:p>
        </w:tc>
      </w:tr>
      <w:tr w:rsidR="00FD32EC" w:rsidRPr="00FD32EC" w14:paraId="4AAFC052" w14:textId="77777777" w:rsidTr="00144522">
        <w:trPr>
          <w:tblCellSpacing w:w="0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71F7C" w14:textId="77777777" w:rsidR="006D3ABD" w:rsidRPr="00FD32EC" w:rsidRDefault="006D3ABD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Изотопи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јода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131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I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C1C5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150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987B9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500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87FED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2000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780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500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93840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20000 </w:t>
            </w:r>
          </w:p>
        </w:tc>
      </w:tr>
      <w:tr w:rsidR="00FD32EC" w:rsidRPr="00FD32EC" w14:paraId="024C9113" w14:textId="77777777" w:rsidTr="00144522">
        <w:trPr>
          <w:tblCellSpacing w:w="0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F828" w14:textId="77777777" w:rsidR="006D3ABD" w:rsidRPr="00FD32EC" w:rsidRDefault="006D3ABD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Алфа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нестабилни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изотопи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плутонијума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трансплутонијумски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елементи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нарочито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239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Pu,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241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Ам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05B9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A7953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20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D4D4E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80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6F6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4929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800 </w:t>
            </w:r>
          </w:p>
        </w:tc>
      </w:tr>
      <w:tr w:rsidR="006D3ABD" w:rsidRPr="00FD32EC" w14:paraId="44A6826C" w14:textId="77777777" w:rsidTr="00144522">
        <w:trPr>
          <w:tblCellSpacing w:w="0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63DF3" w14:textId="77777777" w:rsidR="006D3ABD" w:rsidRPr="00FD32EC" w:rsidRDefault="006D3ABD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нуклиди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временом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полураспада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већим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10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дана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нарочито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134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Cs,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137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Cs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искључујући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14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C</w:t>
            </w: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,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Pr="00FD32EC">
              <w:rPr>
                <w:rFonts w:eastAsia="Times New Roman"/>
                <w:sz w:val="15"/>
                <w:szCs w:val="15"/>
                <w:vertAlign w:val="superscript"/>
                <w:lang w:eastAsia="sr-Latn-RS"/>
              </w:rPr>
              <w:t>3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H</w:t>
            </w: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 xml:space="preserve">, </w:t>
            </w:r>
            <w:r w:rsidRPr="00FD32EC">
              <w:rPr>
                <w:rFonts w:eastAsia="Times New Roman"/>
                <w:sz w:val="22"/>
                <w:szCs w:val="22"/>
                <w:vertAlign w:val="superscript"/>
                <w:lang w:val="sr-Cyrl-RS" w:eastAsia="sr-Latn-RS"/>
              </w:rPr>
              <w:t>40</w:t>
            </w:r>
            <w:r w:rsidR="0074361E" w:rsidRPr="00FD32EC">
              <w:rPr>
                <w:rFonts w:eastAsia="Times New Roman"/>
                <w:sz w:val="22"/>
                <w:szCs w:val="22"/>
                <w:lang w:eastAsia="sr-Latn-RS"/>
              </w:rPr>
              <w:t>K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3680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400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895E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1000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B729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1250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7BD6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val="sr-Cyrl-RS"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val="sr-Cyrl-RS" w:eastAsia="sr-Latn-RS"/>
              </w:rPr>
              <w:t>1250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26F59" w14:textId="77777777" w:rsidR="006D3ABD" w:rsidRPr="00FD32EC" w:rsidRDefault="006D3ABD" w:rsidP="0054763C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sr-Latn-RS"/>
              </w:rPr>
            </w:pP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12500 </w:t>
            </w:r>
          </w:p>
        </w:tc>
      </w:tr>
    </w:tbl>
    <w:p w14:paraId="42E641F3" w14:textId="77777777" w:rsidR="00AF7942" w:rsidRPr="00FD32EC" w:rsidRDefault="00AF7942" w:rsidP="0054763C">
      <w:pPr>
        <w:spacing w:after="120"/>
        <w:rPr>
          <w:lang w:val="sr-Cyrl-RS"/>
        </w:rPr>
      </w:pPr>
    </w:p>
    <w:p w14:paraId="167CE384" w14:textId="77777777" w:rsidR="006D3ABD" w:rsidRPr="00FD32EC" w:rsidRDefault="006D3ABD" w:rsidP="0054763C">
      <w:pPr>
        <w:pStyle w:val="ListParagraph"/>
        <w:numPr>
          <w:ilvl w:val="0"/>
          <w:numId w:val="8"/>
        </w:numPr>
        <w:spacing w:after="120"/>
        <w:rPr>
          <w:sz w:val="22"/>
          <w:szCs w:val="22"/>
          <w:lang w:val="sr-Cyrl-RS"/>
        </w:rPr>
      </w:pPr>
      <w:r w:rsidRPr="00FD32EC">
        <w:rPr>
          <w:sz w:val="22"/>
          <w:szCs w:val="22"/>
          <w:lang w:val="sr-Cyrl-RS"/>
        </w:rPr>
        <w:t>Храна за бебе</w:t>
      </w:r>
      <w:r w:rsidR="00AF7942" w:rsidRPr="00FD32EC">
        <w:rPr>
          <w:sz w:val="22"/>
          <w:szCs w:val="22"/>
        </w:rPr>
        <w:t xml:space="preserve"> – </w:t>
      </w:r>
      <w:r w:rsidRPr="00FD32EC">
        <w:rPr>
          <w:sz w:val="22"/>
          <w:szCs w:val="22"/>
          <w:lang w:val="sr-Cyrl-RS"/>
        </w:rPr>
        <w:t>храна намењена деци у току прве године живота, која је као таква декларисана</w:t>
      </w:r>
    </w:p>
    <w:p w14:paraId="5031096E" w14:textId="77777777" w:rsidR="006D3ABD" w:rsidRPr="00FD32EC" w:rsidRDefault="006D3ABD" w:rsidP="0054763C">
      <w:pPr>
        <w:pStyle w:val="ListParagraph"/>
        <w:numPr>
          <w:ilvl w:val="0"/>
          <w:numId w:val="8"/>
        </w:numPr>
        <w:spacing w:after="120"/>
        <w:rPr>
          <w:rStyle w:val="fontstyle01"/>
          <w:rFonts w:ascii="Times New Roman" w:hAnsi="Times New Roman"/>
          <w:color w:val="auto"/>
          <w:sz w:val="22"/>
          <w:szCs w:val="22"/>
          <w:lang w:val="sr-Cyrl-RS"/>
        </w:rPr>
      </w:pPr>
      <w:r w:rsidRPr="00FD32EC">
        <w:rPr>
          <w:sz w:val="22"/>
          <w:szCs w:val="22"/>
          <w:lang w:val="sr-Cyrl-RS"/>
        </w:rPr>
        <w:t>Течна храна</w:t>
      </w:r>
      <w:r w:rsidR="00AF7942" w:rsidRPr="00FD32EC">
        <w:rPr>
          <w:sz w:val="22"/>
          <w:szCs w:val="22"/>
        </w:rPr>
        <w:t xml:space="preserve"> –</w:t>
      </w:r>
      <w:r w:rsidRPr="00FD32EC">
        <w:rPr>
          <w:sz w:val="22"/>
          <w:szCs w:val="22"/>
          <w:lang w:val="sr-Cyrl-RS"/>
        </w:rPr>
        <w:t xml:space="preserve"> пиће, алкохоли и сирће у складу са главом 22 </w:t>
      </w:r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  <w:lang w:val="sr-Cyrl-RS"/>
        </w:rPr>
        <w:t>У</w:t>
      </w:r>
      <w:proofErr w:type="spellStart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>редб</w:t>
      </w:r>
      <w:proofErr w:type="spellEnd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  <w:lang w:val="sr-Cyrl-RS"/>
        </w:rPr>
        <w:t>е</w:t>
      </w:r>
      <w:r w:rsidRPr="00FD32EC">
        <w:rPr>
          <w:rStyle w:val="fontstyle01"/>
          <w:rFonts w:ascii="Times New Roman" w:hAnsi="Times New Roman"/>
          <w:color w:val="auto"/>
          <w:sz w:val="22"/>
          <w:szCs w:val="22"/>
          <w:lang w:val="sr-Cyrl-RS"/>
        </w:rPr>
        <w:t xml:space="preserve"> </w:t>
      </w:r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о </w:t>
      </w:r>
      <w:proofErr w:type="spellStart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>усклађивању</w:t>
      </w:r>
      <w:proofErr w:type="spellEnd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>номенклатуре</w:t>
      </w:r>
      <w:proofErr w:type="spellEnd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>царинске</w:t>
      </w:r>
      <w:proofErr w:type="spellEnd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F7942" w:rsidRPr="00FD32EC">
        <w:rPr>
          <w:rStyle w:val="fontstyle01"/>
          <w:rFonts w:ascii="Times New Roman" w:hAnsi="Times New Roman"/>
          <w:color w:val="auto"/>
          <w:sz w:val="22"/>
          <w:szCs w:val="22"/>
        </w:rPr>
        <w:t>тарифе</w:t>
      </w:r>
      <w:proofErr w:type="spellEnd"/>
    </w:p>
    <w:p w14:paraId="0443AFEF" w14:textId="77777777" w:rsidR="006D3ABD" w:rsidRPr="00FD32EC" w:rsidRDefault="00AC7204" w:rsidP="0054763C">
      <w:pPr>
        <w:pStyle w:val="ListParagraph"/>
        <w:numPr>
          <w:ilvl w:val="0"/>
          <w:numId w:val="8"/>
        </w:numPr>
        <w:spacing w:after="120"/>
        <w:rPr>
          <w:rFonts w:eastAsia="Times New Roman"/>
          <w:sz w:val="22"/>
          <w:szCs w:val="22"/>
          <w:lang w:eastAsia="sr-Latn-RS"/>
        </w:rPr>
      </w:pPr>
      <w:proofErr w:type="spellStart"/>
      <w:r w:rsidRPr="00FD32EC">
        <w:rPr>
          <w:rFonts w:eastAsia="Times New Roman"/>
          <w:sz w:val="22"/>
          <w:szCs w:val="22"/>
          <w:lang w:eastAsia="sr-Latn-RS"/>
        </w:rPr>
        <w:t>Ређе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коришћен</w:t>
      </w:r>
      <w:proofErr w:type="spellEnd"/>
      <w:r w:rsidRPr="00FD32EC">
        <w:rPr>
          <w:rFonts w:eastAsia="Times New Roman"/>
          <w:sz w:val="22"/>
          <w:szCs w:val="22"/>
          <w:lang w:val="sr-Cyrl-RS" w:eastAsia="sr-Latn-RS"/>
        </w:rPr>
        <w:t>а</w:t>
      </w:r>
      <w:r w:rsidR="006D3ABD"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lang w:val="sr-Cyrl-RS" w:eastAsia="sr-Latn-RS"/>
        </w:rPr>
        <w:t>храна</w:t>
      </w:r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наведен</w:t>
      </w:r>
      <w:proofErr w:type="spellEnd"/>
      <w:r w:rsidRPr="00FD32EC">
        <w:rPr>
          <w:rFonts w:eastAsia="Times New Roman"/>
          <w:sz w:val="22"/>
          <w:szCs w:val="22"/>
          <w:lang w:val="sr-Cyrl-RS" w:eastAsia="sr-Latn-RS"/>
        </w:rPr>
        <w:t>а</w:t>
      </w:r>
      <w:r w:rsidR="006D3ABD"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lang w:val="sr-Cyrl-RS" w:eastAsia="sr-Latn-RS"/>
        </w:rPr>
        <w:t>је</w:t>
      </w:r>
      <w:r w:rsidR="006D3ABD" w:rsidRPr="00FD32EC">
        <w:rPr>
          <w:rFonts w:eastAsia="Times New Roman"/>
          <w:sz w:val="22"/>
          <w:szCs w:val="22"/>
          <w:lang w:eastAsia="sr-Latn-RS"/>
        </w:rPr>
        <w:t xml:space="preserve"> у </w:t>
      </w:r>
      <w:proofErr w:type="spellStart"/>
      <w:r w:rsidR="006D3ABD" w:rsidRPr="00FD32EC">
        <w:rPr>
          <w:rFonts w:eastAsia="Times New Roman"/>
          <w:sz w:val="22"/>
          <w:szCs w:val="22"/>
          <w:lang w:eastAsia="sr-Latn-RS"/>
        </w:rPr>
        <w:t>Табели</w:t>
      </w:r>
      <w:proofErr w:type="spellEnd"/>
      <w:r w:rsidR="006D3ABD"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="006D3ABD" w:rsidRPr="00FD32EC">
        <w:rPr>
          <w:rFonts w:eastAsia="Times New Roman"/>
          <w:sz w:val="22"/>
          <w:szCs w:val="22"/>
          <w:lang w:val="sr-Cyrl-RS" w:eastAsia="sr-Latn-RS"/>
        </w:rPr>
        <w:t>2</w:t>
      </w:r>
      <w:r w:rsidR="006D3ABD" w:rsidRPr="00FD32EC">
        <w:rPr>
          <w:rFonts w:eastAsia="Times New Roman"/>
          <w:sz w:val="22"/>
          <w:szCs w:val="22"/>
          <w:lang w:eastAsia="sr-Latn-RS"/>
        </w:rPr>
        <w:t xml:space="preserve">. </w:t>
      </w:r>
    </w:p>
    <w:p w14:paraId="33C117AD" w14:textId="77777777" w:rsidR="006D3ABD" w:rsidRPr="00FD32EC" w:rsidRDefault="006D3ABD" w:rsidP="0054763C">
      <w:pPr>
        <w:spacing w:after="120"/>
        <w:rPr>
          <w:rFonts w:eastAsia="Times New Roman"/>
          <w:sz w:val="22"/>
          <w:szCs w:val="22"/>
          <w:lang w:val="sr-Cyrl-RS" w:eastAsia="sr-Latn-RS"/>
        </w:rPr>
      </w:pPr>
    </w:p>
    <w:p w14:paraId="11B61600" w14:textId="77777777" w:rsidR="002A33E2" w:rsidRPr="00FD32EC" w:rsidRDefault="00AF6B99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Табела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lang w:val="sr-Cyrl-RS" w:eastAsia="sr-Latn-RS"/>
        </w:rPr>
        <w:t>2</w:t>
      </w:r>
      <w:r w:rsidR="002A33E2" w:rsidRPr="00FD32EC">
        <w:rPr>
          <w:rFonts w:eastAsia="Times New Roman"/>
          <w:lang w:eastAsia="sr-Latn-RS"/>
        </w:rPr>
        <w:t xml:space="preserve">. </w:t>
      </w:r>
      <w:proofErr w:type="spellStart"/>
      <w:r w:rsidR="002A33E2" w:rsidRPr="00FD32EC">
        <w:rPr>
          <w:rFonts w:eastAsia="Times New Roman"/>
          <w:lang w:eastAsia="sr-Latn-RS"/>
        </w:rPr>
        <w:t>Ређе</w:t>
      </w:r>
      <w:proofErr w:type="spellEnd"/>
      <w:r w:rsidR="002A33E2" w:rsidRPr="00FD32EC">
        <w:rPr>
          <w:rFonts w:eastAsia="Times New Roman"/>
          <w:lang w:eastAsia="sr-Latn-RS"/>
        </w:rPr>
        <w:t xml:space="preserve"> </w:t>
      </w:r>
      <w:proofErr w:type="spellStart"/>
      <w:r w:rsidR="002A33E2" w:rsidRPr="00FD32EC">
        <w:rPr>
          <w:rFonts w:eastAsia="Times New Roman"/>
          <w:lang w:eastAsia="sr-Latn-RS"/>
        </w:rPr>
        <w:t>коришћен</w:t>
      </w:r>
      <w:proofErr w:type="spellEnd"/>
      <w:r w:rsidR="00AC7204" w:rsidRPr="00FD32EC">
        <w:rPr>
          <w:rFonts w:eastAsia="Times New Roman"/>
          <w:lang w:val="sr-Cyrl-RS" w:eastAsia="sr-Latn-RS"/>
        </w:rPr>
        <w:t>а</w:t>
      </w:r>
      <w:r w:rsidR="002A33E2" w:rsidRPr="00FD32EC">
        <w:rPr>
          <w:rFonts w:eastAsia="Times New Roman"/>
          <w:lang w:eastAsia="sr-Latn-RS"/>
        </w:rPr>
        <w:t xml:space="preserve"> </w:t>
      </w:r>
      <w:r w:rsidR="00AC7204" w:rsidRPr="00FD32EC">
        <w:rPr>
          <w:rFonts w:eastAsia="Times New Roman"/>
          <w:lang w:val="sr-Cyrl-RS" w:eastAsia="sr-Latn-RS"/>
        </w:rPr>
        <w:t xml:space="preserve"> храна</w:t>
      </w:r>
      <w:r w:rsidR="002A33E2" w:rsidRPr="00FD32EC">
        <w:rPr>
          <w:rFonts w:eastAsia="Times New Roman"/>
          <w:lang w:eastAsia="sr-Latn-RS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D32EC" w:rsidRPr="00FD32EC" w14:paraId="141B691F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C2CA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Бели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лук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619061D2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C8467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Трифле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тартуфи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</w:tr>
      <w:tr w:rsidR="00FD32EC" w:rsidRPr="00FD32EC" w14:paraId="21C91A36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59F9C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Капар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6EE87B98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4AE1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Капар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привремено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конзервисан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таквом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стању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неподесно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непосредну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исхрану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3E85D274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A5899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Трифле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сушене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сечене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комаде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млевене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даље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неприпремљене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</w:tr>
      <w:tr w:rsidR="00FD32EC" w:rsidRPr="00FD32EC" w14:paraId="029BA4E7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7830F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Маниока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арорут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салеп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топинамбур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слатки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кромпир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слично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корење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кртоле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с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високим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садржајем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скроба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инулина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свежи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расхлађени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смрзнути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сушени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сечени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облику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пелета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срж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саго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дрвета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529FB999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1EC37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агрума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диња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лубеница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свеже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смрзнуте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суве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привремено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конзервисане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сланој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сумпорисаној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другим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растворима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конзервисање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178F9953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F53A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Мате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чај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5AE7763E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9C42A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Бибер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="00B32C0D" w:rsidRPr="00FD32EC">
              <w:rPr>
                <w:rFonts w:eastAsia="Times New Roman"/>
                <w:i/>
                <w:iCs/>
                <w:noProof/>
                <w:sz w:val="22"/>
                <w:szCs w:val="22"/>
                <w:lang w:eastAsia="sr-Latn-RS"/>
              </w:rPr>
              <w:t>Piper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сува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дробљена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млевена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паприка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="00B32C0D" w:rsidRPr="00FD32EC">
              <w:rPr>
                <w:rFonts w:eastAsia="Times New Roman"/>
                <w:i/>
                <w:iCs/>
                <w:noProof/>
                <w:sz w:val="22"/>
                <w:szCs w:val="22"/>
                <w:lang w:eastAsia="sr-Latn-RS"/>
              </w:rPr>
              <w:t>Capsicum</w:t>
            </w:r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r w:rsidR="00B32C0D" w:rsidRPr="00FD32EC">
              <w:rPr>
                <w:rFonts w:eastAsia="Times New Roman"/>
                <w:i/>
                <w:iCs/>
                <w:noProof/>
                <w:sz w:val="22"/>
                <w:szCs w:val="22"/>
                <w:lang w:eastAsia="sr-Latn-RS"/>
              </w:rPr>
              <w:t>Pimenta</w:t>
            </w:r>
          </w:p>
        </w:tc>
      </w:tr>
      <w:tr w:rsidR="00FD32EC" w:rsidRPr="00FD32EC" w14:paraId="09E6DDF9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01371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Ванила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061A1D64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E601C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Цимет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цвет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циметовог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дрвета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47F267EB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4BB0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Каранфилић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плодови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пупољци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петељке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</w:tr>
      <w:tr w:rsidR="00FD32EC" w:rsidRPr="00FD32EC" w14:paraId="69F63AB8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97910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Мушкатни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орах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мацис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кардамом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3CE3B024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91DE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Семе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аниса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бадијана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коморача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коријандера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кумина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бобице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клеке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5AC8A0ED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1B4A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Ђумбир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шафран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куркума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мајчина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душица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лорбер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листу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кари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зачини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6FF9A910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28308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Брашно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гриз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прах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сагоа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корења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кртола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маниоке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арорута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салепа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топинамбура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слатког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кромпира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сличног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корења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кртола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с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високим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садржајем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скроба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инулина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свежих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расхлађених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смрзнутих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сушених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целих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сечених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облику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пелета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сржи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саго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дрвета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0AC27F27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7BEE0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Скроб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од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маниоке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0046FBBA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4C499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Хмељ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свеж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сушен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дробљен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млевен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облику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пелета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лупулин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5FDC583C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3AF64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Биље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делови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семење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плодове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свеже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сушено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сечено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цело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дробљено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млевено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врста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које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првенствено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употребљавају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производњи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мириса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фармацији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инсектициде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фунгициде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сличне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сврхе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499B4A84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1D3E9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Шелак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природне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гуме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смоле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гуми-смоле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смоле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нпр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.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балзами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</w:tr>
      <w:tr w:rsidR="00FD32EC" w:rsidRPr="00FD32EC" w14:paraId="73B47D57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67E9F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Биљни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сокови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екстракти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пектинске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материје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пектинати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пектати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агар-агар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слузи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згушњивачи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добијени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биљних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модификовани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немодификовани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2983C893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95BCD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Масти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њихове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фракције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риба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морских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сисара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пречишћени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непречишћени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хемијски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немодификовани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3F19E344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2880B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Кавијар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замене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кавијара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61375691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0764D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Какао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зрну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цео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ломљен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сиров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пржен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722E5CE6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0D66A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Љуске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опне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отпаци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какаоа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07F4C2CD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ECCD3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Какао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маса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одмашћена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неодмашћена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1C7EAA1B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1E799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Трифле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тартуфи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припремљене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конзервисане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други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начин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сирћету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сирћетној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киселини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291475CF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09943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Поврће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воће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језграсто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воће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коре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од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воћа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делови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конзервисани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шећеру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суви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глазирани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кандирани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 </w:t>
            </w:r>
          </w:p>
        </w:tc>
      </w:tr>
      <w:tr w:rsidR="00FD32EC" w:rsidRPr="00FD32EC" w14:paraId="21500AEA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85135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Квасац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активан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неактиван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остали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једноћелијски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микроорганизми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мртви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осим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вакцина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из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тарифног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броја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3002);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припремљени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прашкови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пецива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FD32EC" w:rsidRPr="00FD32EC" w14:paraId="4946E3A6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F7060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Провитамини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витамини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природни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произведени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синтезом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природне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концентрате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њихови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деривати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који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првенствено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употребљавају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као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витамини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међусобне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мешавине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наведених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производа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оне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било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растварачу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  <w:tr w:rsidR="002A33E2" w:rsidRPr="00FD32EC" w14:paraId="4B8876C9" w14:textId="77777777" w:rsidTr="002A33E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29CD" w14:textId="77777777" w:rsidR="002A33E2" w:rsidRPr="00FD32EC" w:rsidRDefault="002A33E2" w:rsidP="0054763C">
            <w:pPr>
              <w:spacing w:after="120"/>
              <w:rPr>
                <w:rFonts w:eastAsia="Times New Roman"/>
                <w:sz w:val="22"/>
                <w:szCs w:val="22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Етерична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(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без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терпена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терпенима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),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укључујући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згуснута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чиста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резиноиди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екстраховане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уљане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смоле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концентрати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етеричних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у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мастима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неиспарљивим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восковима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слично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добијени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поступком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екстракције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етеричних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помоћу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масти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или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мацерацијом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;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споредни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терпенски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производи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добијени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детерпенацијом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етеричних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водени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дестилати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и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водени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раствори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етеричних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  <w:proofErr w:type="spellStart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>уља</w:t>
            </w:r>
            <w:proofErr w:type="spellEnd"/>
            <w:r w:rsidRPr="00FD32EC">
              <w:rPr>
                <w:rFonts w:eastAsia="Times New Roman"/>
                <w:sz w:val="22"/>
                <w:szCs w:val="22"/>
                <w:lang w:eastAsia="sr-Latn-RS"/>
              </w:rPr>
              <w:t xml:space="preserve"> </w:t>
            </w:r>
          </w:p>
        </w:tc>
      </w:tr>
    </w:tbl>
    <w:p w14:paraId="4D41EAA4" w14:textId="77777777" w:rsidR="00AF7942" w:rsidRPr="00FD32EC" w:rsidRDefault="00AF7942" w:rsidP="0054763C">
      <w:pPr>
        <w:spacing w:after="120"/>
        <w:rPr>
          <w:rFonts w:eastAsia="Times New Roman"/>
          <w:lang w:val="sr-Cyrl-RS" w:eastAsia="sr-Latn-RS"/>
        </w:rPr>
      </w:pPr>
    </w:p>
    <w:p w14:paraId="74D36573" w14:textId="5409DC22" w:rsidR="002A33E2" w:rsidRPr="00FD32EC" w:rsidRDefault="002A33E2" w:rsidP="0054763C">
      <w:pPr>
        <w:spacing w:after="120"/>
        <w:rPr>
          <w:rFonts w:eastAsia="Times New Roman"/>
          <w:lang w:eastAsia="sr-Latn-RS"/>
        </w:rPr>
      </w:pPr>
      <w:proofErr w:type="spellStart"/>
      <w:r w:rsidRPr="00FD32EC">
        <w:rPr>
          <w:rFonts w:eastAsia="Times New Roman"/>
          <w:lang w:eastAsia="sr-Latn-RS"/>
        </w:rPr>
        <w:t>Табела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B470CF" w:rsidRPr="00FD32EC">
        <w:rPr>
          <w:rFonts w:eastAsia="Times New Roman"/>
          <w:lang w:eastAsia="sr-Latn-RS"/>
        </w:rPr>
        <w:t>3</w:t>
      </w:r>
      <w:r w:rsidRPr="00FD32EC">
        <w:rPr>
          <w:rFonts w:eastAsia="Times New Roman"/>
          <w:lang w:eastAsia="sr-Latn-RS"/>
        </w:rPr>
        <w:t xml:space="preserve">. </w:t>
      </w:r>
      <w:proofErr w:type="spellStart"/>
      <w:r w:rsidRPr="00FD32EC">
        <w:rPr>
          <w:rFonts w:eastAsia="Times New Roman"/>
          <w:lang w:eastAsia="sr-Latn-RS"/>
        </w:rPr>
        <w:t>Границе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proofErr w:type="spellStart"/>
      <w:r w:rsidRPr="00FD32EC">
        <w:rPr>
          <w:rFonts w:eastAsia="Times New Roman"/>
          <w:lang w:eastAsia="sr-Latn-RS"/>
        </w:rPr>
        <w:t>садржаја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Pr="00FD32EC">
        <w:rPr>
          <w:rFonts w:eastAsia="Times New Roman"/>
          <w:vertAlign w:val="superscript"/>
          <w:lang w:eastAsia="sr-Latn-RS"/>
        </w:rPr>
        <w:t>134</w:t>
      </w:r>
      <w:r w:rsidR="00B122CB" w:rsidRPr="00FD32EC">
        <w:rPr>
          <w:rFonts w:eastAsia="Times New Roman"/>
          <w:lang w:eastAsia="sr-Latn-RS"/>
        </w:rPr>
        <w:t>Cs</w:t>
      </w:r>
      <w:r w:rsidRPr="00FD32EC">
        <w:rPr>
          <w:rFonts w:eastAsia="Times New Roman"/>
          <w:lang w:eastAsia="sr-Latn-RS"/>
        </w:rPr>
        <w:t xml:space="preserve"> и </w:t>
      </w:r>
      <w:r w:rsidRPr="00FD32EC">
        <w:rPr>
          <w:rFonts w:eastAsia="Times New Roman"/>
          <w:vertAlign w:val="superscript"/>
          <w:lang w:eastAsia="sr-Latn-RS"/>
        </w:rPr>
        <w:t>137</w:t>
      </w:r>
      <w:r w:rsidR="00B122CB" w:rsidRPr="00FD32EC">
        <w:rPr>
          <w:rFonts w:eastAsia="Times New Roman"/>
          <w:lang w:eastAsia="sr-Latn-RS"/>
        </w:rPr>
        <w:t>Cs</w:t>
      </w:r>
      <w:r w:rsidRPr="00FD32EC">
        <w:rPr>
          <w:rFonts w:eastAsia="Times New Roman"/>
          <w:lang w:eastAsia="sr-Latn-RS"/>
        </w:rPr>
        <w:t xml:space="preserve">, </w:t>
      </w:r>
      <w:proofErr w:type="spellStart"/>
      <w:r w:rsidRPr="00FD32EC">
        <w:rPr>
          <w:rFonts w:eastAsia="Times New Roman"/>
          <w:lang w:eastAsia="sr-Latn-RS"/>
        </w:rPr>
        <w:t>укупно</w:t>
      </w:r>
      <w:proofErr w:type="spellEnd"/>
      <w:r w:rsidRPr="00FD32EC">
        <w:rPr>
          <w:rFonts w:eastAsia="Times New Roman"/>
          <w:lang w:eastAsia="sr-Latn-RS"/>
        </w:rPr>
        <w:t xml:space="preserve">, у </w:t>
      </w:r>
      <w:r w:rsidR="000A261E" w:rsidRPr="00FD32EC">
        <w:rPr>
          <w:rFonts w:eastAsia="Times New Roman"/>
          <w:lang w:val="sr-Cyrl-RS" w:eastAsia="sr-Latn-RS"/>
        </w:rPr>
        <w:t>храни</w:t>
      </w:r>
      <w:r w:rsidRPr="00FD32EC">
        <w:rPr>
          <w:rFonts w:eastAsia="Times New Roman"/>
          <w:lang w:eastAsia="sr-Latn-RS"/>
        </w:rPr>
        <w:t xml:space="preserve"> </w:t>
      </w:r>
      <w:r w:rsidR="00C07813" w:rsidRPr="00FD32EC">
        <w:rPr>
          <w:rFonts w:eastAsia="Times New Roman"/>
          <w:lang w:val="sr-Cyrl-RS" w:eastAsia="sr-Latn-RS"/>
        </w:rPr>
        <w:t xml:space="preserve">за животиње </w:t>
      </w:r>
      <w:proofErr w:type="spellStart"/>
      <w:r w:rsidRPr="00FD32EC">
        <w:rPr>
          <w:rFonts w:eastAsia="Times New Roman"/>
          <w:lang w:eastAsia="sr-Latn-RS"/>
        </w:rPr>
        <w:t>после</w:t>
      </w:r>
      <w:proofErr w:type="spellEnd"/>
      <w:r w:rsidRPr="00FD32EC">
        <w:rPr>
          <w:rFonts w:eastAsia="Times New Roman"/>
          <w:lang w:eastAsia="sr-Latn-RS"/>
        </w:rPr>
        <w:t xml:space="preserve"> </w:t>
      </w:r>
      <w:r w:rsidR="00DE312F" w:rsidRPr="00FD32EC">
        <w:rPr>
          <w:rFonts w:eastAsia="Times New Roman"/>
          <w:lang w:val="sr-Cyrl-RS" w:eastAsia="sr-Latn-RS"/>
        </w:rPr>
        <w:t>нуклеарн</w:t>
      </w:r>
      <w:r w:rsidR="00A02826" w:rsidRPr="00FD32EC">
        <w:rPr>
          <w:rFonts w:eastAsia="Times New Roman"/>
          <w:lang w:val="sr-Cyrl-RS" w:eastAsia="sr-Latn-RS"/>
        </w:rPr>
        <w:t xml:space="preserve">ог или </w:t>
      </w:r>
      <w:proofErr w:type="spellStart"/>
      <w:r w:rsidR="00A02826" w:rsidRPr="00FD32EC">
        <w:rPr>
          <w:rFonts w:eastAsia="Times New Roman"/>
          <w:lang w:val="sr-Cyrl-RS" w:eastAsia="sr-Latn-RS"/>
        </w:rPr>
        <w:t>радиолошког</w:t>
      </w:r>
      <w:proofErr w:type="spellEnd"/>
      <w:r w:rsidR="00A02826" w:rsidRPr="00FD32EC">
        <w:rPr>
          <w:rFonts w:eastAsia="Times New Roman"/>
          <w:lang w:val="sr-Cyrl-RS" w:eastAsia="sr-Latn-RS"/>
        </w:rPr>
        <w:t xml:space="preserve"> ванредног догађаја</w:t>
      </w:r>
      <w:r w:rsidR="00DE312F" w:rsidRPr="00FD32EC">
        <w:rPr>
          <w:rFonts w:eastAsia="Times New Roman"/>
          <w:lang w:eastAsia="sr-Latn-RS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573"/>
      </w:tblGrid>
      <w:tr w:rsidR="00FD32EC" w:rsidRPr="00FD32EC" w14:paraId="6FE835AA" w14:textId="77777777" w:rsidTr="002A33E2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DEBE" w14:textId="77777777" w:rsidR="002A33E2" w:rsidRPr="00FD32EC" w:rsidRDefault="002A33E2" w:rsidP="0054763C">
            <w:pPr>
              <w:spacing w:after="120"/>
              <w:jc w:val="center"/>
              <w:rPr>
                <w:rFonts w:eastAsia="Times New Roman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lang w:eastAsia="sr-Latn-RS"/>
              </w:rPr>
              <w:t>Животиња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90381" w14:textId="77777777" w:rsidR="002A33E2" w:rsidRPr="00FD32EC" w:rsidRDefault="002A33E2" w:rsidP="0054763C">
            <w:pPr>
              <w:spacing w:after="120"/>
              <w:jc w:val="center"/>
              <w:rPr>
                <w:rFonts w:eastAsia="Times New Roman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lang w:eastAsia="sr-Latn-RS"/>
              </w:rPr>
              <w:t>Bq</w:t>
            </w:r>
            <w:proofErr w:type="spellEnd"/>
            <w:r w:rsidRPr="00FD32EC">
              <w:rPr>
                <w:rFonts w:eastAsia="Times New Roman"/>
                <w:lang w:eastAsia="sr-Latn-RS"/>
              </w:rPr>
              <w:t>/</w:t>
            </w:r>
            <w:r w:rsidR="00C37256" w:rsidRPr="00FD32EC">
              <w:rPr>
                <w:rFonts w:eastAsia="Times New Roman"/>
                <w:lang w:eastAsia="sr-Latn-RS"/>
              </w:rPr>
              <w:t>kg</w:t>
            </w:r>
            <w:r w:rsidRPr="00FD32EC">
              <w:rPr>
                <w:rFonts w:eastAsia="Times New Roman"/>
                <w:lang w:eastAsia="sr-Latn-RS"/>
              </w:rPr>
              <w:t xml:space="preserve"> </w:t>
            </w:r>
            <w:r w:rsidR="00AF6B99" w:rsidRPr="00FD32EC">
              <w:rPr>
                <w:rFonts w:eastAsia="Times New Roman"/>
                <w:vertAlign w:val="superscript"/>
                <w:lang w:eastAsia="sr-Latn-RS"/>
              </w:rPr>
              <w:t>1,</w:t>
            </w:r>
            <w:r w:rsidRPr="00FD32EC">
              <w:rPr>
                <w:rFonts w:eastAsia="Times New Roman"/>
                <w:vertAlign w:val="superscript"/>
                <w:lang w:eastAsia="sr-Latn-RS"/>
              </w:rPr>
              <w:t>2</w:t>
            </w:r>
            <w:r w:rsidRPr="00FD32EC">
              <w:rPr>
                <w:rFonts w:eastAsia="Times New Roman"/>
                <w:lang w:eastAsia="sr-Latn-RS"/>
              </w:rPr>
              <w:t xml:space="preserve"> </w:t>
            </w:r>
          </w:p>
        </w:tc>
      </w:tr>
      <w:tr w:rsidR="00FD32EC" w:rsidRPr="00FD32EC" w14:paraId="1DBC2CBA" w14:textId="77777777" w:rsidTr="002A33E2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FB7BD" w14:textId="77777777" w:rsidR="002A33E2" w:rsidRPr="00FD32EC" w:rsidRDefault="002A33E2" w:rsidP="0054763C">
            <w:pPr>
              <w:spacing w:after="120"/>
              <w:rPr>
                <w:rFonts w:eastAsia="Times New Roman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lang w:eastAsia="sr-Latn-RS"/>
              </w:rPr>
              <w:t>Свиње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8A69B" w14:textId="77777777" w:rsidR="002A33E2" w:rsidRPr="00FD32EC" w:rsidRDefault="00AF7942" w:rsidP="0054763C">
            <w:pPr>
              <w:spacing w:after="120"/>
              <w:jc w:val="center"/>
              <w:rPr>
                <w:rFonts w:eastAsia="Times New Roman"/>
                <w:lang w:val="sr-Cyrl-RS" w:eastAsia="sr-Latn-RS"/>
              </w:rPr>
            </w:pPr>
            <w:r w:rsidRPr="00FD32EC">
              <w:rPr>
                <w:rFonts w:eastAsia="Times New Roman"/>
                <w:lang w:eastAsia="sr-Latn-RS"/>
              </w:rPr>
              <w:t>1250</w:t>
            </w:r>
          </w:p>
        </w:tc>
      </w:tr>
      <w:tr w:rsidR="00FD32EC" w:rsidRPr="00FD32EC" w14:paraId="154F75C6" w14:textId="77777777" w:rsidTr="002A33E2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99AF" w14:textId="77777777" w:rsidR="002A33E2" w:rsidRPr="00FD32EC" w:rsidRDefault="002A33E2" w:rsidP="0054763C">
            <w:pPr>
              <w:spacing w:after="120"/>
              <w:rPr>
                <w:rFonts w:eastAsia="Times New Roman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lang w:eastAsia="sr-Latn-RS"/>
              </w:rPr>
              <w:t>Живина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lang w:eastAsia="sr-Latn-RS"/>
              </w:rPr>
              <w:t>јагњад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, </w:t>
            </w:r>
            <w:proofErr w:type="spellStart"/>
            <w:r w:rsidRPr="00FD32EC">
              <w:rPr>
                <w:rFonts w:eastAsia="Times New Roman"/>
                <w:lang w:eastAsia="sr-Latn-RS"/>
              </w:rPr>
              <w:t>телад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0BEAB" w14:textId="77777777" w:rsidR="002A33E2" w:rsidRPr="00FD32EC" w:rsidRDefault="002A33E2" w:rsidP="0054763C">
            <w:pPr>
              <w:spacing w:after="120"/>
              <w:jc w:val="center"/>
              <w:rPr>
                <w:rFonts w:eastAsia="Times New Roman"/>
                <w:lang w:eastAsia="sr-Latn-RS"/>
              </w:rPr>
            </w:pPr>
            <w:r w:rsidRPr="00FD32EC">
              <w:rPr>
                <w:rFonts w:eastAsia="Times New Roman"/>
                <w:lang w:eastAsia="sr-Latn-RS"/>
              </w:rPr>
              <w:t>2500</w:t>
            </w:r>
          </w:p>
        </w:tc>
      </w:tr>
      <w:tr w:rsidR="00FD32EC" w:rsidRPr="00FD32EC" w14:paraId="1BEA4FD5" w14:textId="77777777" w:rsidTr="002A33E2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5E3A1" w14:textId="77777777" w:rsidR="002A33E2" w:rsidRPr="00FD32EC" w:rsidRDefault="002A33E2" w:rsidP="0054763C">
            <w:pPr>
              <w:spacing w:after="120"/>
              <w:rPr>
                <w:rFonts w:eastAsia="Times New Roman"/>
                <w:lang w:eastAsia="sr-Latn-RS"/>
              </w:rPr>
            </w:pPr>
            <w:proofErr w:type="spellStart"/>
            <w:r w:rsidRPr="00FD32EC">
              <w:rPr>
                <w:rFonts w:eastAsia="Times New Roman"/>
                <w:lang w:eastAsia="sr-Latn-RS"/>
              </w:rPr>
              <w:t>Друго</w:t>
            </w:r>
            <w:proofErr w:type="spellEnd"/>
            <w:r w:rsidRPr="00FD32EC">
              <w:rPr>
                <w:rFonts w:eastAsia="Times New Roman"/>
                <w:lang w:eastAsia="sr-Latn-RS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A61E4" w14:textId="77777777" w:rsidR="002A33E2" w:rsidRPr="00FD32EC" w:rsidRDefault="00AF7942" w:rsidP="0054763C">
            <w:pPr>
              <w:spacing w:after="120"/>
              <w:jc w:val="center"/>
              <w:rPr>
                <w:rFonts w:eastAsia="Times New Roman"/>
                <w:lang w:val="sr-Cyrl-RS" w:eastAsia="sr-Latn-RS"/>
              </w:rPr>
            </w:pPr>
            <w:r w:rsidRPr="00FD32EC">
              <w:rPr>
                <w:rFonts w:eastAsia="Times New Roman"/>
                <w:lang w:eastAsia="sr-Latn-RS"/>
              </w:rPr>
              <w:t>5000</w:t>
            </w:r>
          </w:p>
        </w:tc>
      </w:tr>
    </w:tbl>
    <w:p w14:paraId="0705565B" w14:textId="04F9FBB3" w:rsidR="00AF7942" w:rsidRPr="00FD32EC" w:rsidRDefault="002A33E2" w:rsidP="0054763C">
      <w:pPr>
        <w:pStyle w:val="ListParagraph"/>
        <w:numPr>
          <w:ilvl w:val="0"/>
          <w:numId w:val="10"/>
        </w:numPr>
        <w:spacing w:after="120"/>
        <w:rPr>
          <w:rFonts w:eastAsia="Times New Roman"/>
          <w:sz w:val="22"/>
          <w:szCs w:val="22"/>
          <w:lang w:eastAsia="sr-Latn-RS"/>
        </w:rPr>
      </w:pPr>
      <w:proofErr w:type="spellStart"/>
      <w:r w:rsidRPr="00FD32EC">
        <w:rPr>
          <w:rFonts w:eastAsia="Times New Roman"/>
          <w:sz w:val="22"/>
          <w:szCs w:val="22"/>
          <w:lang w:eastAsia="sr-Latn-RS"/>
        </w:rPr>
        <w:t>Праћење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садржаја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радионуклида у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намирницама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животињског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порекла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потребн</w:t>
      </w:r>
      <w:proofErr w:type="spellEnd"/>
      <w:r w:rsidR="00F22798" w:rsidRPr="00FD32EC">
        <w:rPr>
          <w:rFonts w:eastAsia="Times New Roman"/>
          <w:sz w:val="22"/>
          <w:szCs w:val="22"/>
          <w:lang w:val="sr-Cyrl-RS" w:eastAsia="sr-Latn-RS"/>
        </w:rPr>
        <w:t>о</w:t>
      </w:r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је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и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када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је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садржај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радионуклида у </w:t>
      </w:r>
      <w:r w:rsidR="00992926" w:rsidRPr="00FD32EC">
        <w:rPr>
          <w:rFonts w:eastAsia="Times New Roman"/>
          <w:sz w:val="22"/>
          <w:szCs w:val="22"/>
          <w:lang w:val="sr-Cyrl-RS" w:eastAsia="sr-Latn-RS"/>
        </w:rPr>
        <w:t>храни за животиње</w:t>
      </w:r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испод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граница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садржаја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134</w:t>
      </w:r>
      <w:r w:rsidR="00B122CB" w:rsidRPr="00FD32EC">
        <w:rPr>
          <w:rFonts w:eastAsia="Times New Roman"/>
          <w:sz w:val="22"/>
          <w:szCs w:val="22"/>
          <w:lang w:eastAsia="sr-Latn-RS"/>
        </w:rPr>
        <w:t>Cs</w:t>
      </w:r>
      <w:r w:rsidRPr="00FD32EC">
        <w:rPr>
          <w:rFonts w:eastAsia="Times New Roman"/>
          <w:sz w:val="22"/>
          <w:szCs w:val="22"/>
          <w:lang w:eastAsia="sr-Latn-RS"/>
        </w:rPr>
        <w:t xml:space="preserve"> и </w:t>
      </w:r>
      <w:r w:rsidRPr="00FD32EC">
        <w:rPr>
          <w:rFonts w:eastAsia="Times New Roman"/>
          <w:sz w:val="22"/>
          <w:szCs w:val="22"/>
          <w:vertAlign w:val="superscript"/>
          <w:lang w:eastAsia="sr-Latn-RS"/>
        </w:rPr>
        <w:t>137</w:t>
      </w:r>
      <w:r w:rsidR="00B122CB" w:rsidRPr="00FD32EC">
        <w:rPr>
          <w:rFonts w:eastAsia="Times New Roman"/>
          <w:sz w:val="22"/>
          <w:szCs w:val="22"/>
          <w:lang w:eastAsia="sr-Latn-RS"/>
        </w:rPr>
        <w:t>Cs</w:t>
      </w:r>
      <w:r w:rsidR="00AF7942"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="00AF7942" w:rsidRPr="00FD32EC">
        <w:rPr>
          <w:rFonts w:eastAsia="Times New Roman"/>
          <w:sz w:val="22"/>
          <w:szCs w:val="22"/>
          <w:lang w:eastAsia="sr-Latn-RS"/>
        </w:rPr>
        <w:t>наведених</w:t>
      </w:r>
      <w:proofErr w:type="spellEnd"/>
      <w:r w:rsidR="00AF7942" w:rsidRPr="00FD32EC">
        <w:rPr>
          <w:rFonts w:eastAsia="Times New Roman"/>
          <w:sz w:val="22"/>
          <w:szCs w:val="22"/>
          <w:lang w:eastAsia="sr-Latn-RS"/>
        </w:rPr>
        <w:t xml:space="preserve"> у </w:t>
      </w:r>
      <w:proofErr w:type="spellStart"/>
      <w:r w:rsidR="00AF7942" w:rsidRPr="00FD32EC">
        <w:rPr>
          <w:rFonts w:eastAsia="Times New Roman"/>
          <w:sz w:val="22"/>
          <w:szCs w:val="22"/>
          <w:lang w:eastAsia="sr-Latn-RS"/>
        </w:rPr>
        <w:t>Табели</w:t>
      </w:r>
      <w:proofErr w:type="spellEnd"/>
      <w:r w:rsidR="00AF7942" w:rsidRPr="00FD32EC">
        <w:rPr>
          <w:rFonts w:eastAsia="Times New Roman"/>
          <w:sz w:val="22"/>
          <w:szCs w:val="22"/>
          <w:lang w:eastAsia="sr-Latn-RS"/>
        </w:rPr>
        <w:t xml:space="preserve"> 3</w:t>
      </w:r>
      <w:r w:rsidR="00AF7942" w:rsidRPr="00FD32EC">
        <w:rPr>
          <w:rFonts w:eastAsia="Times New Roman"/>
          <w:sz w:val="22"/>
          <w:szCs w:val="22"/>
          <w:lang w:val="sr-Cyrl-RS" w:eastAsia="sr-Latn-RS"/>
        </w:rPr>
        <w:t xml:space="preserve">. </w:t>
      </w:r>
    </w:p>
    <w:p w14:paraId="72CE8878" w14:textId="0539B44F" w:rsidR="00E95B80" w:rsidRPr="00FD32EC" w:rsidRDefault="002A33E2" w:rsidP="0054763C">
      <w:pPr>
        <w:pStyle w:val="ListParagraph"/>
        <w:numPr>
          <w:ilvl w:val="0"/>
          <w:numId w:val="10"/>
        </w:numPr>
        <w:spacing w:after="120"/>
        <w:rPr>
          <w:sz w:val="22"/>
          <w:szCs w:val="22"/>
        </w:rPr>
      </w:pP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Наведени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нивои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се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односе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на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храну</w:t>
      </w:r>
      <w:proofErr w:type="spellEnd"/>
      <w:r w:rsidR="00992926" w:rsidRPr="00FD32EC">
        <w:rPr>
          <w:rFonts w:eastAsia="Times New Roman"/>
          <w:sz w:val="22"/>
          <w:szCs w:val="22"/>
          <w:lang w:val="sr-Cyrl-RS" w:eastAsia="sr-Latn-RS"/>
        </w:rPr>
        <w:t xml:space="preserve"> за животиње</w:t>
      </w:r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спремну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за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 </w:t>
      </w:r>
      <w:proofErr w:type="spellStart"/>
      <w:r w:rsidRPr="00FD32EC">
        <w:rPr>
          <w:rFonts w:eastAsia="Times New Roman"/>
          <w:sz w:val="22"/>
          <w:szCs w:val="22"/>
          <w:lang w:eastAsia="sr-Latn-RS"/>
        </w:rPr>
        <w:t>употребу</w:t>
      </w:r>
      <w:proofErr w:type="spellEnd"/>
      <w:r w:rsidRPr="00FD32EC">
        <w:rPr>
          <w:rFonts w:eastAsia="Times New Roman"/>
          <w:sz w:val="22"/>
          <w:szCs w:val="22"/>
          <w:lang w:eastAsia="sr-Latn-RS"/>
        </w:rPr>
        <w:t xml:space="preserve">. </w:t>
      </w:r>
    </w:p>
    <w:sectPr w:rsidR="00E95B80" w:rsidRPr="00FD32EC" w:rsidSect="001950F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3777" w14:textId="77777777" w:rsidR="00285A20" w:rsidRDefault="00285A20" w:rsidP="00225497">
      <w:pPr>
        <w:spacing w:after="0" w:line="240" w:lineRule="auto"/>
      </w:pPr>
      <w:r>
        <w:separator/>
      </w:r>
    </w:p>
  </w:endnote>
  <w:endnote w:type="continuationSeparator" w:id="0">
    <w:p w14:paraId="214F38A6" w14:textId="77777777" w:rsidR="00285A20" w:rsidRDefault="00285A20" w:rsidP="00225497">
      <w:pPr>
        <w:spacing w:after="0" w:line="240" w:lineRule="auto"/>
      </w:pPr>
      <w:r>
        <w:continuationSeparator/>
      </w:r>
    </w:p>
  </w:endnote>
  <w:endnote w:type="continuationNotice" w:id="1">
    <w:p w14:paraId="7C416EDF" w14:textId="77777777" w:rsidR="00285A20" w:rsidRDefault="00285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709AF" w14:textId="77777777" w:rsidR="008D0C06" w:rsidRDefault="008D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7D2E" w14:textId="77777777" w:rsidR="00285A20" w:rsidRDefault="00285A20" w:rsidP="00225497">
      <w:pPr>
        <w:spacing w:after="0" w:line="240" w:lineRule="auto"/>
      </w:pPr>
      <w:r>
        <w:separator/>
      </w:r>
    </w:p>
  </w:footnote>
  <w:footnote w:type="continuationSeparator" w:id="0">
    <w:p w14:paraId="21E4BD82" w14:textId="77777777" w:rsidR="00285A20" w:rsidRDefault="00285A20" w:rsidP="00225497">
      <w:pPr>
        <w:spacing w:after="0" w:line="240" w:lineRule="auto"/>
      </w:pPr>
      <w:r>
        <w:continuationSeparator/>
      </w:r>
    </w:p>
  </w:footnote>
  <w:footnote w:type="continuationNotice" w:id="1">
    <w:p w14:paraId="3FA4F9D5" w14:textId="77777777" w:rsidR="00285A20" w:rsidRDefault="00285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30BF" w14:textId="77777777" w:rsidR="008D0C06" w:rsidRDefault="008D0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A62"/>
    <w:multiLevelType w:val="hybridMultilevel"/>
    <w:tmpl w:val="63F045DE"/>
    <w:lvl w:ilvl="0" w:tplc="CEAC2190">
      <w:start w:val="1"/>
      <w:numFmt w:val="decimal"/>
      <w:lvlText w:val="%1."/>
      <w:lvlJc w:val="left"/>
      <w:pPr>
        <w:ind w:left="1020" w:hanging="360"/>
      </w:pPr>
    </w:lvl>
    <w:lvl w:ilvl="1" w:tplc="0780F614">
      <w:start w:val="1"/>
      <w:numFmt w:val="decimal"/>
      <w:lvlText w:val="%2."/>
      <w:lvlJc w:val="left"/>
      <w:pPr>
        <w:ind w:left="1020" w:hanging="360"/>
      </w:pPr>
    </w:lvl>
    <w:lvl w:ilvl="2" w:tplc="19D09C1E">
      <w:start w:val="1"/>
      <w:numFmt w:val="decimal"/>
      <w:lvlText w:val="%3."/>
      <w:lvlJc w:val="left"/>
      <w:pPr>
        <w:ind w:left="1020" w:hanging="360"/>
      </w:pPr>
    </w:lvl>
    <w:lvl w:ilvl="3" w:tplc="D3724830">
      <w:start w:val="1"/>
      <w:numFmt w:val="decimal"/>
      <w:lvlText w:val="%4."/>
      <w:lvlJc w:val="left"/>
      <w:pPr>
        <w:ind w:left="1020" w:hanging="360"/>
      </w:pPr>
    </w:lvl>
    <w:lvl w:ilvl="4" w:tplc="C5A277EA">
      <w:start w:val="1"/>
      <w:numFmt w:val="decimal"/>
      <w:lvlText w:val="%5."/>
      <w:lvlJc w:val="left"/>
      <w:pPr>
        <w:ind w:left="1020" w:hanging="360"/>
      </w:pPr>
    </w:lvl>
    <w:lvl w:ilvl="5" w:tplc="E6CCD692">
      <w:start w:val="1"/>
      <w:numFmt w:val="decimal"/>
      <w:lvlText w:val="%6."/>
      <w:lvlJc w:val="left"/>
      <w:pPr>
        <w:ind w:left="1020" w:hanging="360"/>
      </w:pPr>
    </w:lvl>
    <w:lvl w:ilvl="6" w:tplc="594A04BE">
      <w:start w:val="1"/>
      <w:numFmt w:val="decimal"/>
      <w:lvlText w:val="%7."/>
      <w:lvlJc w:val="left"/>
      <w:pPr>
        <w:ind w:left="1020" w:hanging="360"/>
      </w:pPr>
    </w:lvl>
    <w:lvl w:ilvl="7" w:tplc="442C9A10">
      <w:start w:val="1"/>
      <w:numFmt w:val="decimal"/>
      <w:lvlText w:val="%8."/>
      <w:lvlJc w:val="left"/>
      <w:pPr>
        <w:ind w:left="1020" w:hanging="360"/>
      </w:pPr>
    </w:lvl>
    <w:lvl w:ilvl="8" w:tplc="0016ACA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082DE8"/>
    <w:multiLevelType w:val="multilevel"/>
    <w:tmpl w:val="EA66D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BE00F1"/>
    <w:multiLevelType w:val="hybridMultilevel"/>
    <w:tmpl w:val="A636F66A"/>
    <w:lvl w:ilvl="0" w:tplc="6B10C5B2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B10C5B2">
      <w:start w:val="1"/>
      <w:numFmt w:val="decimal"/>
      <w:lvlText w:val="%4"/>
      <w:lvlJc w:val="left"/>
      <w:pPr>
        <w:ind w:left="2520" w:hanging="360"/>
      </w:pPr>
      <w:rPr>
        <w:rFonts w:hint="default"/>
        <w:vertAlign w:val="superscrip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109AE"/>
    <w:multiLevelType w:val="multilevel"/>
    <w:tmpl w:val="0B3C7D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A54956"/>
    <w:multiLevelType w:val="hybridMultilevel"/>
    <w:tmpl w:val="EAA8C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757E"/>
    <w:multiLevelType w:val="hybridMultilevel"/>
    <w:tmpl w:val="69D0DB5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4A5"/>
    <w:multiLevelType w:val="hybridMultilevel"/>
    <w:tmpl w:val="581A5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0CC"/>
    <w:multiLevelType w:val="multilevel"/>
    <w:tmpl w:val="1F96FF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094F37"/>
    <w:multiLevelType w:val="hybridMultilevel"/>
    <w:tmpl w:val="65143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038F"/>
    <w:multiLevelType w:val="hybridMultilevel"/>
    <w:tmpl w:val="796EDD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63BD7"/>
    <w:multiLevelType w:val="hybridMultilevel"/>
    <w:tmpl w:val="016002FE"/>
    <w:lvl w:ilvl="0" w:tplc="DEA60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22D"/>
    <w:multiLevelType w:val="hybridMultilevel"/>
    <w:tmpl w:val="C3647090"/>
    <w:lvl w:ilvl="0" w:tplc="6B10C5B2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92DBF"/>
    <w:multiLevelType w:val="hybridMultilevel"/>
    <w:tmpl w:val="7478A05C"/>
    <w:lvl w:ilvl="0" w:tplc="CC080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626F3"/>
    <w:multiLevelType w:val="hybridMultilevel"/>
    <w:tmpl w:val="EFEE1D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1A74"/>
    <w:multiLevelType w:val="hybridMultilevel"/>
    <w:tmpl w:val="0ABE701C"/>
    <w:lvl w:ilvl="0" w:tplc="6B10C5B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D784D"/>
    <w:multiLevelType w:val="hybridMultilevel"/>
    <w:tmpl w:val="F7E003A2"/>
    <w:lvl w:ilvl="0" w:tplc="6B10C5B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82F5C"/>
    <w:multiLevelType w:val="hybridMultilevel"/>
    <w:tmpl w:val="495A6B1E"/>
    <w:lvl w:ilvl="0" w:tplc="D892F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26E7B"/>
    <w:multiLevelType w:val="hybridMultilevel"/>
    <w:tmpl w:val="796EDD48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84BC4"/>
    <w:multiLevelType w:val="hybridMultilevel"/>
    <w:tmpl w:val="A9C0DA0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847"/>
    <w:multiLevelType w:val="hybridMultilevel"/>
    <w:tmpl w:val="E78A4560"/>
    <w:lvl w:ilvl="0" w:tplc="EFA2B34A">
      <w:start w:val="1"/>
      <w:numFmt w:val="decimal"/>
      <w:lvlText w:val="%1."/>
      <w:lvlJc w:val="left"/>
      <w:pPr>
        <w:ind w:left="720" w:hanging="360"/>
      </w:pPr>
    </w:lvl>
    <w:lvl w:ilvl="1" w:tplc="D2DCF302">
      <w:start w:val="1"/>
      <w:numFmt w:val="decimal"/>
      <w:lvlText w:val="%2."/>
      <w:lvlJc w:val="left"/>
      <w:pPr>
        <w:ind w:left="720" w:hanging="360"/>
      </w:pPr>
    </w:lvl>
    <w:lvl w:ilvl="2" w:tplc="4AE22D2A">
      <w:start w:val="1"/>
      <w:numFmt w:val="decimal"/>
      <w:lvlText w:val="%3."/>
      <w:lvlJc w:val="left"/>
      <w:pPr>
        <w:ind w:left="720" w:hanging="360"/>
      </w:pPr>
    </w:lvl>
    <w:lvl w:ilvl="3" w:tplc="F9D05F14">
      <w:start w:val="1"/>
      <w:numFmt w:val="decimal"/>
      <w:lvlText w:val="%4."/>
      <w:lvlJc w:val="left"/>
      <w:pPr>
        <w:ind w:left="720" w:hanging="360"/>
      </w:pPr>
    </w:lvl>
    <w:lvl w:ilvl="4" w:tplc="E37A4524">
      <w:start w:val="1"/>
      <w:numFmt w:val="decimal"/>
      <w:lvlText w:val="%5."/>
      <w:lvlJc w:val="left"/>
      <w:pPr>
        <w:ind w:left="720" w:hanging="360"/>
      </w:pPr>
    </w:lvl>
    <w:lvl w:ilvl="5" w:tplc="C1741194">
      <w:start w:val="1"/>
      <w:numFmt w:val="decimal"/>
      <w:lvlText w:val="%6."/>
      <w:lvlJc w:val="left"/>
      <w:pPr>
        <w:ind w:left="720" w:hanging="360"/>
      </w:pPr>
    </w:lvl>
    <w:lvl w:ilvl="6" w:tplc="C2C23B8C">
      <w:start w:val="1"/>
      <w:numFmt w:val="decimal"/>
      <w:lvlText w:val="%7."/>
      <w:lvlJc w:val="left"/>
      <w:pPr>
        <w:ind w:left="720" w:hanging="360"/>
      </w:pPr>
    </w:lvl>
    <w:lvl w:ilvl="7" w:tplc="C15EB032">
      <w:start w:val="1"/>
      <w:numFmt w:val="decimal"/>
      <w:lvlText w:val="%8."/>
      <w:lvlJc w:val="left"/>
      <w:pPr>
        <w:ind w:left="720" w:hanging="360"/>
      </w:pPr>
    </w:lvl>
    <w:lvl w:ilvl="8" w:tplc="FD50B360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6816563C"/>
    <w:multiLevelType w:val="hybridMultilevel"/>
    <w:tmpl w:val="20AE0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6CF3"/>
    <w:multiLevelType w:val="hybridMultilevel"/>
    <w:tmpl w:val="0AAA6B9E"/>
    <w:lvl w:ilvl="0" w:tplc="CC080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6138"/>
    <w:multiLevelType w:val="hybridMultilevel"/>
    <w:tmpl w:val="17C2B7C8"/>
    <w:lvl w:ilvl="0" w:tplc="279AC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E078B"/>
    <w:multiLevelType w:val="hybridMultilevel"/>
    <w:tmpl w:val="1EA6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9623">
    <w:abstractNumId w:val="22"/>
  </w:num>
  <w:num w:numId="2" w16cid:durableId="1528762582">
    <w:abstractNumId w:val="8"/>
  </w:num>
  <w:num w:numId="3" w16cid:durableId="10642705">
    <w:abstractNumId w:val="4"/>
  </w:num>
  <w:num w:numId="4" w16cid:durableId="1489326182">
    <w:abstractNumId w:val="1"/>
  </w:num>
  <w:num w:numId="5" w16cid:durableId="280843264">
    <w:abstractNumId w:val="11"/>
  </w:num>
  <w:num w:numId="6" w16cid:durableId="700785759">
    <w:abstractNumId w:val="3"/>
  </w:num>
  <w:num w:numId="7" w16cid:durableId="2099334">
    <w:abstractNumId w:val="7"/>
  </w:num>
  <w:num w:numId="8" w16cid:durableId="1438597272">
    <w:abstractNumId w:val="15"/>
  </w:num>
  <w:num w:numId="9" w16cid:durableId="539362302">
    <w:abstractNumId w:val="14"/>
  </w:num>
  <w:num w:numId="10" w16cid:durableId="2013603932">
    <w:abstractNumId w:val="2"/>
  </w:num>
  <w:num w:numId="11" w16cid:durableId="1980190033">
    <w:abstractNumId w:val="12"/>
  </w:num>
  <w:num w:numId="12" w16cid:durableId="800458953">
    <w:abstractNumId w:val="10"/>
  </w:num>
  <w:num w:numId="13" w16cid:durableId="895627601">
    <w:abstractNumId w:val="17"/>
  </w:num>
  <w:num w:numId="14" w16cid:durableId="190992608">
    <w:abstractNumId w:val="18"/>
  </w:num>
  <w:num w:numId="15" w16cid:durableId="1994993048">
    <w:abstractNumId w:val="16"/>
  </w:num>
  <w:num w:numId="16" w16cid:durableId="1429156667">
    <w:abstractNumId w:val="5"/>
  </w:num>
  <w:num w:numId="17" w16cid:durableId="1149859257">
    <w:abstractNumId w:val="9"/>
  </w:num>
  <w:num w:numId="18" w16cid:durableId="1132753463">
    <w:abstractNumId w:val="21"/>
  </w:num>
  <w:num w:numId="19" w16cid:durableId="1840075294">
    <w:abstractNumId w:val="23"/>
  </w:num>
  <w:num w:numId="20" w16cid:durableId="1466965588">
    <w:abstractNumId w:val="6"/>
  </w:num>
  <w:num w:numId="21" w16cid:durableId="1168517118">
    <w:abstractNumId w:val="20"/>
  </w:num>
  <w:num w:numId="22" w16cid:durableId="494108268">
    <w:abstractNumId w:val="13"/>
  </w:num>
  <w:num w:numId="23" w16cid:durableId="1685012977">
    <w:abstractNumId w:val="0"/>
  </w:num>
  <w:num w:numId="24" w16cid:durableId="20271161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a Avramović">
    <w15:presenceInfo w15:providerId="AD" w15:userId="S-1-5-21-2655034076-1342048032-1039768609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E2"/>
    <w:rsid w:val="0000209B"/>
    <w:rsid w:val="0000542C"/>
    <w:rsid w:val="0001071E"/>
    <w:rsid w:val="00011AE3"/>
    <w:rsid w:val="00012F2C"/>
    <w:rsid w:val="000159C0"/>
    <w:rsid w:val="00020A18"/>
    <w:rsid w:val="00035FA8"/>
    <w:rsid w:val="000413C5"/>
    <w:rsid w:val="00045687"/>
    <w:rsid w:val="00051D5C"/>
    <w:rsid w:val="0005424A"/>
    <w:rsid w:val="00057E32"/>
    <w:rsid w:val="00063353"/>
    <w:rsid w:val="000663CA"/>
    <w:rsid w:val="000736BD"/>
    <w:rsid w:val="0007448A"/>
    <w:rsid w:val="000756D7"/>
    <w:rsid w:val="0008102D"/>
    <w:rsid w:val="000849B1"/>
    <w:rsid w:val="00090F75"/>
    <w:rsid w:val="0009255D"/>
    <w:rsid w:val="000932B5"/>
    <w:rsid w:val="000972E4"/>
    <w:rsid w:val="000A261E"/>
    <w:rsid w:val="000B51B3"/>
    <w:rsid w:val="000B6E72"/>
    <w:rsid w:val="000B7915"/>
    <w:rsid w:val="000C0E5E"/>
    <w:rsid w:val="000C2ACB"/>
    <w:rsid w:val="000C3C28"/>
    <w:rsid w:val="000C4542"/>
    <w:rsid w:val="000C5B45"/>
    <w:rsid w:val="000C6A45"/>
    <w:rsid w:val="000C768E"/>
    <w:rsid w:val="000D0E7D"/>
    <w:rsid w:val="000E650F"/>
    <w:rsid w:val="000E7665"/>
    <w:rsid w:val="000F5887"/>
    <w:rsid w:val="00101554"/>
    <w:rsid w:val="00103C80"/>
    <w:rsid w:val="001040AD"/>
    <w:rsid w:val="001042F8"/>
    <w:rsid w:val="001048B3"/>
    <w:rsid w:val="00111369"/>
    <w:rsid w:val="001115C0"/>
    <w:rsid w:val="001125CE"/>
    <w:rsid w:val="00116057"/>
    <w:rsid w:val="00120327"/>
    <w:rsid w:val="001257F5"/>
    <w:rsid w:val="001349B9"/>
    <w:rsid w:val="00135B43"/>
    <w:rsid w:val="00135C0A"/>
    <w:rsid w:val="00137719"/>
    <w:rsid w:val="0014143E"/>
    <w:rsid w:val="00144522"/>
    <w:rsid w:val="0014523A"/>
    <w:rsid w:val="00145A48"/>
    <w:rsid w:val="0015653A"/>
    <w:rsid w:val="00177822"/>
    <w:rsid w:val="001805CE"/>
    <w:rsid w:val="00180C82"/>
    <w:rsid w:val="0018369B"/>
    <w:rsid w:val="00184542"/>
    <w:rsid w:val="00185163"/>
    <w:rsid w:val="001851C7"/>
    <w:rsid w:val="00191B18"/>
    <w:rsid w:val="00193DAD"/>
    <w:rsid w:val="0019486A"/>
    <w:rsid w:val="001950FE"/>
    <w:rsid w:val="001976D2"/>
    <w:rsid w:val="001A1144"/>
    <w:rsid w:val="001A1766"/>
    <w:rsid w:val="001A2B82"/>
    <w:rsid w:val="001B03E0"/>
    <w:rsid w:val="001B0B13"/>
    <w:rsid w:val="001B0DC0"/>
    <w:rsid w:val="001B27F2"/>
    <w:rsid w:val="001B6B89"/>
    <w:rsid w:val="001C150E"/>
    <w:rsid w:val="001C2C97"/>
    <w:rsid w:val="001C72DA"/>
    <w:rsid w:val="001D00AA"/>
    <w:rsid w:val="001D3803"/>
    <w:rsid w:val="001D442B"/>
    <w:rsid w:val="001E01FE"/>
    <w:rsid w:val="001E048C"/>
    <w:rsid w:val="001E3D44"/>
    <w:rsid w:val="001E7CC8"/>
    <w:rsid w:val="001F04D7"/>
    <w:rsid w:val="001F2D40"/>
    <w:rsid w:val="00205D82"/>
    <w:rsid w:val="00205ECE"/>
    <w:rsid w:val="00207149"/>
    <w:rsid w:val="002119CA"/>
    <w:rsid w:val="00214448"/>
    <w:rsid w:val="00225497"/>
    <w:rsid w:val="00232429"/>
    <w:rsid w:val="00235AEE"/>
    <w:rsid w:val="00235E9F"/>
    <w:rsid w:val="00237FFA"/>
    <w:rsid w:val="002400CB"/>
    <w:rsid w:val="0024630A"/>
    <w:rsid w:val="00247E26"/>
    <w:rsid w:val="002565F5"/>
    <w:rsid w:val="0026689F"/>
    <w:rsid w:val="00272B30"/>
    <w:rsid w:val="002758BE"/>
    <w:rsid w:val="0027658E"/>
    <w:rsid w:val="002765C3"/>
    <w:rsid w:val="00284803"/>
    <w:rsid w:val="00285A20"/>
    <w:rsid w:val="00286203"/>
    <w:rsid w:val="0028758C"/>
    <w:rsid w:val="002914AD"/>
    <w:rsid w:val="002915F2"/>
    <w:rsid w:val="00292718"/>
    <w:rsid w:val="00292A43"/>
    <w:rsid w:val="002936FA"/>
    <w:rsid w:val="00293B85"/>
    <w:rsid w:val="002974FC"/>
    <w:rsid w:val="002A33E2"/>
    <w:rsid w:val="002B4EB2"/>
    <w:rsid w:val="002C2785"/>
    <w:rsid w:val="002C4705"/>
    <w:rsid w:val="002C6AF3"/>
    <w:rsid w:val="002C7F2E"/>
    <w:rsid w:val="002D0A89"/>
    <w:rsid w:val="002D165C"/>
    <w:rsid w:val="002D79D1"/>
    <w:rsid w:val="002E243D"/>
    <w:rsid w:val="002E45F5"/>
    <w:rsid w:val="002E64C0"/>
    <w:rsid w:val="002F2044"/>
    <w:rsid w:val="002F3F23"/>
    <w:rsid w:val="003026F9"/>
    <w:rsid w:val="00302BAF"/>
    <w:rsid w:val="00310E47"/>
    <w:rsid w:val="00311909"/>
    <w:rsid w:val="00316C22"/>
    <w:rsid w:val="00321201"/>
    <w:rsid w:val="00327AEC"/>
    <w:rsid w:val="00331149"/>
    <w:rsid w:val="0033241D"/>
    <w:rsid w:val="00333494"/>
    <w:rsid w:val="003359CA"/>
    <w:rsid w:val="00341DFE"/>
    <w:rsid w:val="00341E7D"/>
    <w:rsid w:val="0034239B"/>
    <w:rsid w:val="00343C07"/>
    <w:rsid w:val="003465B5"/>
    <w:rsid w:val="0034691C"/>
    <w:rsid w:val="00351040"/>
    <w:rsid w:val="00355240"/>
    <w:rsid w:val="00355DF7"/>
    <w:rsid w:val="003566BD"/>
    <w:rsid w:val="00356809"/>
    <w:rsid w:val="003640A7"/>
    <w:rsid w:val="0037069F"/>
    <w:rsid w:val="00370B73"/>
    <w:rsid w:val="00370F08"/>
    <w:rsid w:val="00371D63"/>
    <w:rsid w:val="003726D9"/>
    <w:rsid w:val="00374452"/>
    <w:rsid w:val="00380601"/>
    <w:rsid w:val="0038071C"/>
    <w:rsid w:val="0038125B"/>
    <w:rsid w:val="003813F6"/>
    <w:rsid w:val="003814FE"/>
    <w:rsid w:val="00382A94"/>
    <w:rsid w:val="003862BC"/>
    <w:rsid w:val="00387011"/>
    <w:rsid w:val="00390F9D"/>
    <w:rsid w:val="00393850"/>
    <w:rsid w:val="00393EFD"/>
    <w:rsid w:val="00395A8E"/>
    <w:rsid w:val="0039769A"/>
    <w:rsid w:val="003A7D4A"/>
    <w:rsid w:val="003B03B7"/>
    <w:rsid w:val="003B12F2"/>
    <w:rsid w:val="003B226E"/>
    <w:rsid w:val="003B53C3"/>
    <w:rsid w:val="003C01D8"/>
    <w:rsid w:val="003C346C"/>
    <w:rsid w:val="003C581F"/>
    <w:rsid w:val="003D7771"/>
    <w:rsid w:val="003E1F36"/>
    <w:rsid w:val="003E3033"/>
    <w:rsid w:val="003E70CE"/>
    <w:rsid w:val="003F1956"/>
    <w:rsid w:val="003F4DE9"/>
    <w:rsid w:val="003F5A4A"/>
    <w:rsid w:val="00402101"/>
    <w:rsid w:val="004024EF"/>
    <w:rsid w:val="00403A43"/>
    <w:rsid w:val="0040440D"/>
    <w:rsid w:val="0040482E"/>
    <w:rsid w:val="004058D6"/>
    <w:rsid w:val="0041024C"/>
    <w:rsid w:val="004107A7"/>
    <w:rsid w:val="004113AA"/>
    <w:rsid w:val="0043297C"/>
    <w:rsid w:val="00433CC4"/>
    <w:rsid w:val="004355C3"/>
    <w:rsid w:val="004418F5"/>
    <w:rsid w:val="00444EDE"/>
    <w:rsid w:val="004463FD"/>
    <w:rsid w:val="00452919"/>
    <w:rsid w:val="00457848"/>
    <w:rsid w:val="00460388"/>
    <w:rsid w:val="00463E4A"/>
    <w:rsid w:val="00477CE5"/>
    <w:rsid w:val="0048211C"/>
    <w:rsid w:val="00484E11"/>
    <w:rsid w:val="004867E2"/>
    <w:rsid w:val="00493D4D"/>
    <w:rsid w:val="0049714D"/>
    <w:rsid w:val="004A2C60"/>
    <w:rsid w:val="004A4F89"/>
    <w:rsid w:val="004B7715"/>
    <w:rsid w:val="004C0F33"/>
    <w:rsid w:val="004C3549"/>
    <w:rsid w:val="004C63D3"/>
    <w:rsid w:val="004C6904"/>
    <w:rsid w:val="004D0413"/>
    <w:rsid w:val="004D7D7E"/>
    <w:rsid w:val="004F0C54"/>
    <w:rsid w:val="004F3C46"/>
    <w:rsid w:val="00501779"/>
    <w:rsid w:val="005052BA"/>
    <w:rsid w:val="00512BA5"/>
    <w:rsid w:val="005138FD"/>
    <w:rsid w:val="00517AD5"/>
    <w:rsid w:val="0052248A"/>
    <w:rsid w:val="005231BD"/>
    <w:rsid w:val="00526F21"/>
    <w:rsid w:val="00533F3A"/>
    <w:rsid w:val="00536D0D"/>
    <w:rsid w:val="00536F9C"/>
    <w:rsid w:val="005423C2"/>
    <w:rsid w:val="00542DF7"/>
    <w:rsid w:val="00543EE1"/>
    <w:rsid w:val="005461F3"/>
    <w:rsid w:val="0054763C"/>
    <w:rsid w:val="005655B2"/>
    <w:rsid w:val="0056720F"/>
    <w:rsid w:val="00580C2E"/>
    <w:rsid w:val="005963EF"/>
    <w:rsid w:val="005A5727"/>
    <w:rsid w:val="005A6898"/>
    <w:rsid w:val="005B6CBF"/>
    <w:rsid w:val="005B7218"/>
    <w:rsid w:val="005C33F6"/>
    <w:rsid w:val="005D13DB"/>
    <w:rsid w:val="005D2E9D"/>
    <w:rsid w:val="005D418C"/>
    <w:rsid w:val="005D61D2"/>
    <w:rsid w:val="005E1BC4"/>
    <w:rsid w:val="005F1D17"/>
    <w:rsid w:val="0060629E"/>
    <w:rsid w:val="00606C43"/>
    <w:rsid w:val="006106F2"/>
    <w:rsid w:val="00615393"/>
    <w:rsid w:val="00616855"/>
    <w:rsid w:val="0061697B"/>
    <w:rsid w:val="006176C2"/>
    <w:rsid w:val="006214E0"/>
    <w:rsid w:val="00625DDF"/>
    <w:rsid w:val="00631900"/>
    <w:rsid w:val="00635DC4"/>
    <w:rsid w:val="006413AB"/>
    <w:rsid w:val="006418EE"/>
    <w:rsid w:val="006427AD"/>
    <w:rsid w:val="006455DB"/>
    <w:rsid w:val="00647B1C"/>
    <w:rsid w:val="00662D06"/>
    <w:rsid w:val="0066458E"/>
    <w:rsid w:val="00665397"/>
    <w:rsid w:val="0066559B"/>
    <w:rsid w:val="00666459"/>
    <w:rsid w:val="00683986"/>
    <w:rsid w:val="00693A31"/>
    <w:rsid w:val="00693F42"/>
    <w:rsid w:val="00695788"/>
    <w:rsid w:val="006A0CA8"/>
    <w:rsid w:val="006A2607"/>
    <w:rsid w:val="006B3556"/>
    <w:rsid w:val="006C68C6"/>
    <w:rsid w:val="006D3ABD"/>
    <w:rsid w:val="006D42CE"/>
    <w:rsid w:val="006D5EDA"/>
    <w:rsid w:val="006E2484"/>
    <w:rsid w:val="006E57E1"/>
    <w:rsid w:val="006F2DD4"/>
    <w:rsid w:val="00702983"/>
    <w:rsid w:val="00714538"/>
    <w:rsid w:val="007168DA"/>
    <w:rsid w:val="007213B4"/>
    <w:rsid w:val="007220BD"/>
    <w:rsid w:val="00724B07"/>
    <w:rsid w:val="0072779E"/>
    <w:rsid w:val="007277A1"/>
    <w:rsid w:val="007342AE"/>
    <w:rsid w:val="00737294"/>
    <w:rsid w:val="00740312"/>
    <w:rsid w:val="00740FF0"/>
    <w:rsid w:val="0074361E"/>
    <w:rsid w:val="007455CD"/>
    <w:rsid w:val="00747D92"/>
    <w:rsid w:val="00747F25"/>
    <w:rsid w:val="00754C91"/>
    <w:rsid w:val="00764B36"/>
    <w:rsid w:val="0077061C"/>
    <w:rsid w:val="00772044"/>
    <w:rsid w:val="00772EB2"/>
    <w:rsid w:val="00774612"/>
    <w:rsid w:val="00782249"/>
    <w:rsid w:val="00785AC2"/>
    <w:rsid w:val="007863BF"/>
    <w:rsid w:val="00790CFB"/>
    <w:rsid w:val="00792573"/>
    <w:rsid w:val="00793B25"/>
    <w:rsid w:val="007943DA"/>
    <w:rsid w:val="007A026D"/>
    <w:rsid w:val="007A0B83"/>
    <w:rsid w:val="007A35A4"/>
    <w:rsid w:val="007A5B97"/>
    <w:rsid w:val="007A6621"/>
    <w:rsid w:val="007A78F0"/>
    <w:rsid w:val="007C14E3"/>
    <w:rsid w:val="007C44B1"/>
    <w:rsid w:val="007C4976"/>
    <w:rsid w:val="007C4B30"/>
    <w:rsid w:val="007D3E28"/>
    <w:rsid w:val="007D50D9"/>
    <w:rsid w:val="007D5331"/>
    <w:rsid w:val="007D5B90"/>
    <w:rsid w:val="007D6C81"/>
    <w:rsid w:val="007E1140"/>
    <w:rsid w:val="007E4BA8"/>
    <w:rsid w:val="007E5B54"/>
    <w:rsid w:val="007E75CC"/>
    <w:rsid w:val="007F1D6E"/>
    <w:rsid w:val="007F3F4E"/>
    <w:rsid w:val="007F529C"/>
    <w:rsid w:val="00800F34"/>
    <w:rsid w:val="00801169"/>
    <w:rsid w:val="00803628"/>
    <w:rsid w:val="008038DD"/>
    <w:rsid w:val="00803ECF"/>
    <w:rsid w:val="00806F35"/>
    <w:rsid w:val="0081370E"/>
    <w:rsid w:val="00813E07"/>
    <w:rsid w:val="00814234"/>
    <w:rsid w:val="008228A8"/>
    <w:rsid w:val="0083001C"/>
    <w:rsid w:val="0083478C"/>
    <w:rsid w:val="00834DF1"/>
    <w:rsid w:val="00840513"/>
    <w:rsid w:val="008428DC"/>
    <w:rsid w:val="00856583"/>
    <w:rsid w:val="00856F3A"/>
    <w:rsid w:val="0086061F"/>
    <w:rsid w:val="008733ED"/>
    <w:rsid w:val="0087565E"/>
    <w:rsid w:val="00875C05"/>
    <w:rsid w:val="00880EEC"/>
    <w:rsid w:val="00881332"/>
    <w:rsid w:val="0088139C"/>
    <w:rsid w:val="00882057"/>
    <w:rsid w:val="00890200"/>
    <w:rsid w:val="0089077B"/>
    <w:rsid w:val="00894CFA"/>
    <w:rsid w:val="008A5139"/>
    <w:rsid w:val="008B45BA"/>
    <w:rsid w:val="008B5396"/>
    <w:rsid w:val="008C0D91"/>
    <w:rsid w:val="008C17DD"/>
    <w:rsid w:val="008C343E"/>
    <w:rsid w:val="008C4355"/>
    <w:rsid w:val="008C4680"/>
    <w:rsid w:val="008C4955"/>
    <w:rsid w:val="008D0C06"/>
    <w:rsid w:val="008D5FF6"/>
    <w:rsid w:val="008E407B"/>
    <w:rsid w:val="008E7FC7"/>
    <w:rsid w:val="008F185F"/>
    <w:rsid w:val="008F29F8"/>
    <w:rsid w:val="008F5E6F"/>
    <w:rsid w:val="008F7622"/>
    <w:rsid w:val="008F7F28"/>
    <w:rsid w:val="0090708F"/>
    <w:rsid w:val="009075CC"/>
    <w:rsid w:val="00912583"/>
    <w:rsid w:val="0091393D"/>
    <w:rsid w:val="009139A7"/>
    <w:rsid w:val="00914CBA"/>
    <w:rsid w:val="0092062F"/>
    <w:rsid w:val="00925817"/>
    <w:rsid w:val="009340B2"/>
    <w:rsid w:val="0093527B"/>
    <w:rsid w:val="00935364"/>
    <w:rsid w:val="00936151"/>
    <w:rsid w:val="0094076C"/>
    <w:rsid w:val="00954F10"/>
    <w:rsid w:val="00963670"/>
    <w:rsid w:val="00963EA8"/>
    <w:rsid w:val="00964D9D"/>
    <w:rsid w:val="00965D54"/>
    <w:rsid w:val="00967709"/>
    <w:rsid w:val="00972DD1"/>
    <w:rsid w:val="00975A9B"/>
    <w:rsid w:val="00983E92"/>
    <w:rsid w:val="0098471F"/>
    <w:rsid w:val="00985717"/>
    <w:rsid w:val="00992926"/>
    <w:rsid w:val="00993C83"/>
    <w:rsid w:val="00995C65"/>
    <w:rsid w:val="009A053C"/>
    <w:rsid w:val="009A0586"/>
    <w:rsid w:val="009A4E63"/>
    <w:rsid w:val="009A65CE"/>
    <w:rsid w:val="009B1470"/>
    <w:rsid w:val="009B2600"/>
    <w:rsid w:val="009B3428"/>
    <w:rsid w:val="009C2E11"/>
    <w:rsid w:val="009D058C"/>
    <w:rsid w:val="009D07F5"/>
    <w:rsid w:val="009D5515"/>
    <w:rsid w:val="009E08E2"/>
    <w:rsid w:val="009E0A78"/>
    <w:rsid w:val="009E17E3"/>
    <w:rsid w:val="009E2FCA"/>
    <w:rsid w:val="009F04C8"/>
    <w:rsid w:val="009F403D"/>
    <w:rsid w:val="009F6673"/>
    <w:rsid w:val="00A00F53"/>
    <w:rsid w:val="00A02826"/>
    <w:rsid w:val="00A03D88"/>
    <w:rsid w:val="00A045EC"/>
    <w:rsid w:val="00A122BA"/>
    <w:rsid w:val="00A275FD"/>
    <w:rsid w:val="00A32BC7"/>
    <w:rsid w:val="00A3329A"/>
    <w:rsid w:val="00A334E0"/>
    <w:rsid w:val="00A336B2"/>
    <w:rsid w:val="00A52124"/>
    <w:rsid w:val="00A52179"/>
    <w:rsid w:val="00A610D1"/>
    <w:rsid w:val="00A61958"/>
    <w:rsid w:val="00A629EE"/>
    <w:rsid w:val="00A63F4E"/>
    <w:rsid w:val="00A66C52"/>
    <w:rsid w:val="00A66FE4"/>
    <w:rsid w:val="00A67694"/>
    <w:rsid w:val="00A67D14"/>
    <w:rsid w:val="00A70C66"/>
    <w:rsid w:val="00A73005"/>
    <w:rsid w:val="00A74AD4"/>
    <w:rsid w:val="00A75AC2"/>
    <w:rsid w:val="00A768E3"/>
    <w:rsid w:val="00A779F3"/>
    <w:rsid w:val="00A90FF8"/>
    <w:rsid w:val="00A938A8"/>
    <w:rsid w:val="00A949E6"/>
    <w:rsid w:val="00A95619"/>
    <w:rsid w:val="00A96916"/>
    <w:rsid w:val="00AA2C5C"/>
    <w:rsid w:val="00AA4ACC"/>
    <w:rsid w:val="00AB2754"/>
    <w:rsid w:val="00AC6D1D"/>
    <w:rsid w:val="00AC7204"/>
    <w:rsid w:val="00AC7A6D"/>
    <w:rsid w:val="00AD703C"/>
    <w:rsid w:val="00AD7AEC"/>
    <w:rsid w:val="00AE0690"/>
    <w:rsid w:val="00AE1300"/>
    <w:rsid w:val="00AE235A"/>
    <w:rsid w:val="00AE6FFE"/>
    <w:rsid w:val="00AF1159"/>
    <w:rsid w:val="00AF5CED"/>
    <w:rsid w:val="00AF6B99"/>
    <w:rsid w:val="00AF7942"/>
    <w:rsid w:val="00B02130"/>
    <w:rsid w:val="00B03AEC"/>
    <w:rsid w:val="00B06249"/>
    <w:rsid w:val="00B101A4"/>
    <w:rsid w:val="00B11B0B"/>
    <w:rsid w:val="00B122CB"/>
    <w:rsid w:val="00B2217D"/>
    <w:rsid w:val="00B27F48"/>
    <w:rsid w:val="00B312E7"/>
    <w:rsid w:val="00B32C0D"/>
    <w:rsid w:val="00B33041"/>
    <w:rsid w:val="00B37797"/>
    <w:rsid w:val="00B4396D"/>
    <w:rsid w:val="00B43ADB"/>
    <w:rsid w:val="00B470CF"/>
    <w:rsid w:val="00B50B6C"/>
    <w:rsid w:val="00B5135B"/>
    <w:rsid w:val="00B52327"/>
    <w:rsid w:val="00B614A9"/>
    <w:rsid w:val="00B63935"/>
    <w:rsid w:val="00B71719"/>
    <w:rsid w:val="00B75138"/>
    <w:rsid w:val="00B86A52"/>
    <w:rsid w:val="00B87FF7"/>
    <w:rsid w:val="00B93A47"/>
    <w:rsid w:val="00B94669"/>
    <w:rsid w:val="00B9598B"/>
    <w:rsid w:val="00B97AB6"/>
    <w:rsid w:val="00BA0521"/>
    <w:rsid w:val="00BA18AE"/>
    <w:rsid w:val="00BA4033"/>
    <w:rsid w:val="00BA57DE"/>
    <w:rsid w:val="00BB429E"/>
    <w:rsid w:val="00BB54E7"/>
    <w:rsid w:val="00BB6F99"/>
    <w:rsid w:val="00BC004F"/>
    <w:rsid w:val="00BC31DF"/>
    <w:rsid w:val="00BC3827"/>
    <w:rsid w:val="00BC3A28"/>
    <w:rsid w:val="00BC3E8D"/>
    <w:rsid w:val="00BD57B1"/>
    <w:rsid w:val="00BD5FD2"/>
    <w:rsid w:val="00BD7588"/>
    <w:rsid w:val="00BE2F9F"/>
    <w:rsid w:val="00BE476B"/>
    <w:rsid w:val="00BE4E86"/>
    <w:rsid w:val="00BE5B91"/>
    <w:rsid w:val="00BE7C55"/>
    <w:rsid w:val="00BF18E2"/>
    <w:rsid w:val="00BF221C"/>
    <w:rsid w:val="00C06CCF"/>
    <w:rsid w:val="00C07813"/>
    <w:rsid w:val="00C10DAF"/>
    <w:rsid w:val="00C16486"/>
    <w:rsid w:val="00C2001F"/>
    <w:rsid w:val="00C21591"/>
    <w:rsid w:val="00C25670"/>
    <w:rsid w:val="00C31BA3"/>
    <w:rsid w:val="00C335E8"/>
    <w:rsid w:val="00C35731"/>
    <w:rsid w:val="00C36E2A"/>
    <w:rsid w:val="00C37256"/>
    <w:rsid w:val="00C41E91"/>
    <w:rsid w:val="00C46095"/>
    <w:rsid w:val="00C47D5F"/>
    <w:rsid w:val="00C50F42"/>
    <w:rsid w:val="00C54262"/>
    <w:rsid w:val="00C56438"/>
    <w:rsid w:val="00C6056F"/>
    <w:rsid w:val="00C6090C"/>
    <w:rsid w:val="00C63FCF"/>
    <w:rsid w:val="00C64028"/>
    <w:rsid w:val="00C661DA"/>
    <w:rsid w:val="00C70D52"/>
    <w:rsid w:val="00C72A3E"/>
    <w:rsid w:val="00C7653D"/>
    <w:rsid w:val="00C83848"/>
    <w:rsid w:val="00C87A5E"/>
    <w:rsid w:val="00C92110"/>
    <w:rsid w:val="00C94A64"/>
    <w:rsid w:val="00C9649D"/>
    <w:rsid w:val="00C96EA9"/>
    <w:rsid w:val="00C97DCF"/>
    <w:rsid w:val="00CA30E3"/>
    <w:rsid w:val="00CA7E94"/>
    <w:rsid w:val="00CB0037"/>
    <w:rsid w:val="00CB06A6"/>
    <w:rsid w:val="00CB3E7F"/>
    <w:rsid w:val="00CC10D0"/>
    <w:rsid w:val="00CC4491"/>
    <w:rsid w:val="00CD4519"/>
    <w:rsid w:val="00CE1EAB"/>
    <w:rsid w:val="00CE3F22"/>
    <w:rsid w:val="00CE45D2"/>
    <w:rsid w:val="00CE5306"/>
    <w:rsid w:val="00CF7421"/>
    <w:rsid w:val="00D00F3C"/>
    <w:rsid w:val="00D104E7"/>
    <w:rsid w:val="00D10714"/>
    <w:rsid w:val="00D11108"/>
    <w:rsid w:val="00D15274"/>
    <w:rsid w:val="00D26D2E"/>
    <w:rsid w:val="00D32689"/>
    <w:rsid w:val="00D33E9E"/>
    <w:rsid w:val="00D42FCF"/>
    <w:rsid w:val="00D44113"/>
    <w:rsid w:val="00D62B64"/>
    <w:rsid w:val="00D6372A"/>
    <w:rsid w:val="00D63CB1"/>
    <w:rsid w:val="00D64132"/>
    <w:rsid w:val="00D66322"/>
    <w:rsid w:val="00D734F7"/>
    <w:rsid w:val="00D74C3B"/>
    <w:rsid w:val="00D775EE"/>
    <w:rsid w:val="00D779D7"/>
    <w:rsid w:val="00D83C36"/>
    <w:rsid w:val="00D95572"/>
    <w:rsid w:val="00D95A5C"/>
    <w:rsid w:val="00DA1140"/>
    <w:rsid w:val="00DA69CA"/>
    <w:rsid w:val="00DB12B9"/>
    <w:rsid w:val="00DB1665"/>
    <w:rsid w:val="00DB4476"/>
    <w:rsid w:val="00DB4774"/>
    <w:rsid w:val="00DB52DD"/>
    <w:rsid w:val="00DB718E"/>
    <w:rsid w:val="00DC454C"/>
    <w:rsid w:val="00DD08C2"/>
    <w:rsid w:val="00DD4792"/>
    <w:rsid w:val="00DE092E"/>
    <w:rsid w:val="00DE312F"/>
    <w:rsid w:val="00DE3E7F"/>
    <w:rsid w:val="00DE5014"/>
    <w:rsid w:val="00DF4172"/>
    <w:rsid w:val="00DF5646"/>
    <w:rsid w:val="00E11FE4"/>
    <w:rsid w:val="00E13381"/>
    <w:rsid w:val="00E17E9F"/>
    <w:rsid w:val="00E23467"/>
    <w:rsid w:val="00E36BDD"/>
    <w:rsid w:val="00E40C73"/>
    <w:rsid w:val="00E442E9"/>
    <w:rsid w:val="00E512CB"/>
    <w:rsid w:val="00E527C8"/>
    <w:rsid w:val="00E57952"/>
    <w:rsid w:val="00E60088"/>
    <w:rsid w:val="00E6257B"/>
    <w:rsid w:val="00E64434"/>
    <w:rsid w:val="00E70556"/>
    <w:rsid w:val="00E72672"/>
    <w:rsid w:val="00E74184"/>
    <w:rsid w:val="00E751A0"/>
    <w:rsid w:val="00E829D8"/>
    <w:rsid w:val="00E85EF7"/>
    <w:rsid w:val="00E86575"/>
    <w:rsid w:val="00E902DD"/>
    <w:rsid w:val="00E95B80"/>
    <w:rsid w:val="00EA1FEB"/>
    <w:rsid w:val="00EA3B96"/>
    <w:rsid w:val="00EB11BA"/>
    <w:rsid w:val="00EB5DF1"/>
    <w:rsid w:val="00EB67D5"/>
    <w:rsid w:val="00EB786F"/>
    <w:rsid w:val="00EB7F0B"/>
    <w:rsid w:val="00EC28D7"/>
    <w:rsid w:val="00EC4D52"/>
    <w:rsid w:val="00EC53F4"/>
    <w:rsid w:val="00EC670B"/>
    <w:rsid w:val="00EC7BE1"/>
    <w:rsid w:val="00ED1D88"/>
    <w:rsid w:val="00ED4A27"/>
    <w:rsid w:val="00EE25B0"/>
    <w:rsid w:val="00EE57D8"/>
    <w:rsid w:val="00EF2B7C"/>
    <w:rsid w:val="00EF4D7F"/>
    <w:rsid w:val="00EF54EF"/>
    <w:rsid w:val="00F02587"/>
    <w:rsid w:val="00F05DAF"/>
    <w:rsid w:val="00F1509D"/>
    <w:rsid w:val="00F20495"/>
    <w:rsid w:val="00F21844"/>
    <w:rsid w:val="00F22798"/>
    <w:rsid w:val="00F24A12"/>
    <w:rsid w:val="00F2639C"/>
    <w:rsid w:val="00F33177"/>
    <w:rsid w:val="00F35919"/>
    <w:rsid w:val="00F3731F"/>
    <w:rsid w:val="00F47439"/>
    <w:rsid w:val="00F52960"/>
    <w:rsid w:val="00F60A57"/>
    <w:rsid w:val="00F66613"/>
    <w:rsid w:val="00F67821"/>
    <w:rsid w:val="00F704A8"/>
    <w:rsid w:val="00F70742"/>
    <w:rsid w:val="00F712B6"/>
    <w:rsid w:val="00F74C03"/>
    <w:rsid w:val="00F75601"/>
    <w:rsid w:val="00F77447"/>
    <w:rsid w:val="00F94931"/>
    <w:rsid w:val="00F97AFD"/>
    <w:rsid w:val="00FA3130"/>
    <w:rsid w:val="00FA4AD6"/>
    <w:rsid w:val="00FB07B2"/>
    <w:rsid w:val="00FB60AB"/>
    <w:rsid w:val="00FB675E"/>
    <w:rsid w:val="00FC03E3"/>
    <w:rsid w:val="00FC2382"/>
    <w:rsid w:val="00FC39CB"/>
    <w:rsid w:val="00FD115A"/>
    <w:rsid w:val="00FD1448"/>
    <w:rsid w:val="00FD32EC"/>
    <w:rsid w:val="00FD3854"/>
    <w:rsid w:val="00FD4400"/>
    <w:rsid w:val="00FE203C"/>
    <w:rsid w:val="00FE4ADD"/>
    <w:rsid w:val="00FE5DDF"/>
    <w:rsid w:val="00FF1FE9"/>
    <w:rsid w:val="00FF5464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57D897"/>
  <w15:docId w15:val="{76FE5F87-DF86-4C7E-88D6-D778B87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00"/>
  </w:style>
  <w:style w:type="paragraph" w:styleId="Heading1">
    <w:name w:val="heading 1"/>
    <w:basedOn w:val="Normal"/>
    <w:next w:val="Normal"/>
    <w:link w:val="Heading1Char"/>
    <w:uiPriority w:val="9"/>
    <w:qFormat/>
    <w:rsid w:val="0041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A33E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33E2"/>
    <w:rPr>
      <w:rFonts w:eastAsia="Times New Roman"/>
      <w:b/>
      <w:bCs/>
      <w:lang w:eastAsia="sr-Latn-RS"/>
    </w:rPr>
  </w:style>
  <w:style w:type="paragraph" w:customStyle="1" w:styleId="clan">
    <w:name w:val="clan"/>
    <w:basedOn w:val="Normal"/>
    <w:rsid w:val="002A33E2"/>
    <w:pPr>
      <w:spacing w:before="240" w:after="120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1">
    <w:name w:val="Normal1"/>
    <w:basedOn w:val="Normal"/>
    <w:rsid w:val="002A33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2A33E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  <w:szCs w:val="22"/>
      <w:lang w:eastAsia="sr-Latn-RS"/>
    </w:rPr>
  </w:style>
  <w:style w:type="paragraph" w:customStyle="1" w:styleId="podnaslovpropisa">
    <w:name w:val="podnaslovpropisa"/>
    <w:basedOn w:val="Normal"/>
    <w:rsid w:val="002A33E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2A33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szCs w:val="22"/>
      <w:lang w:eastAsia="sr-Latn-RS"/>
    </w:rPr>
  </w:style>
  <w:style w:type="paragraph" w:customStyle="1" w:styleId="normalprored">
    <w:name w:val="normalprored"/>
    <w:basedOn w:val="Normal"/>
    <w:rsid w:val="002A33E2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character" w:customStyle="1" w:styleId="stepen1">
    <w:name w:val="stepen1"/>
    <w:basedOn w:val="DefaultParagraphFont"/>
    <w:rsid w:val="002A33E2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2A33E2"/>
    <w:rPr>
      <w:sz w:val="15"/>
      <w:szCs w:val="15"/>
      <w:vertAlign w:val="subscript"/>
    </w:rPr>
  </w:style>
  <w:style w:type="character" w:customStyle="1" w:styleId="tw4winMark">
    <w:name w:val="tw4winMark"/>
    <w:rsid w:val="003566BD"/>
    <w:rPr>
      <w:rFonts w:ascii="Times New Roman" w:hAnsi="Times New Roman"/>
      <w:vanish/>
      <w:color w:val="800080"/>
      <w:vertAlign w:val="subscript"/>
    </w:rPr>
  </w:style>
  <w:style w:type="paragraph" w:customStyle="1" w:styleId="CM4">
    <w:name w:val="CM4"/>
    <w:basedOn w:val="Normal"/>
    <w:next w:val="Normal"/>
    <w:uiPriority w:val="99"/>
    <w:rsid w:val="00A9561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lang w:val="en-US"/>
    </w:rPr>
  </w:style>
  <w:style w:type="paragraph" w:styleId="ListParagraph">
    <w:name w:val="List Paragraph"/>
    <w:basedOn w:val="Normal"/>
    <w:uiPriority w:val="99"/>
    <w:qFormat/>
    <w:rsid w:val="00B03AEC"/>
    <w:pPr>
      <w:ind w:left="720"/>
      <w:contextualSpacing/>
    </w:pPr>
  </w:style>
  <w:style w:type="character" w:styleId="CommentReference">
    <w:name w:val="annotation reference"/>
    <w:uiPriority w:val="99"/>
    <w:rsid w:val="00785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5AC2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AC2"/>
    <w:rPr>
      <w:rFonts w:ascii="Tahoma" w:eastAsia="Times New Roman" w:hAnsi="Tahoma" w:cs="Tahoma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C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6E"/>
    <w:pPr>
      <w:spacing w:after="160"/>
    </w:pPr>
    <w:rPr>
      <w:rFonts w:ascii="Times New Roman" w:eastAsiaTheme="minorHAnsi" w:hAnsi="Times New Roman" w:cs="Times New Roman"/>
      <w:b/>
      <w:bCs/>
      <w:color w:val="auto"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6E"/>
    <w:rPr>
      <w:rFonts w:ascii="Tahoma" w:eastAsia="Times New Roman" w:hAnsi="Tahoma" w:cs="Tahoma"/>
      <w:b/>
      <w:bCs/>
      <w:color w:val="000000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6D3A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5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497"/>
  </w:style>
  <w:style w:type="paragraph" w:styleId="Footer">
    <w:name w:val="footer"/>
    <w:basedOn w:val="Normal"/>
    <w:link w:val="FooterChar"/>
    <w:uiPriority w:val="99"/>
    <w:unhideWhenUsed/>
    <w:rsid w:val="00225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97"/>
  </w:style>
  <w:style w:type="character" w:styleId="PlaceholderText">
    <w:name w:val="Placeholder Text"/>
    <w:basedOn w:val="DefaultParagraphFont"/>
    <w:uiPriority w:val="99"/>
    <w:semiHidden/>
    <w:rsid w:val="00CC4491"/>
    <w:rPr>
      <w:color w:val="808080"/>
    </w:rPr>
  </w:style>
  <w:style w:type="paragraph" w:styleId="Revision">
    <w:name w:val="Revision"/>
    <w:hidden/>
    <w:uiPriority w:val="99"/>
    <w:semiHidden/>
    <w:rsid w:val="009F40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7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4107A7"/>
  </w:style>
  <w:style w:type="character" w:customStyle="1" w:styleId="hps">
    <w:name w:val="hps"/>
    <w:basedOn w:val="DefaultParagraphFont"/>
    <w:rsid w:val="0041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FA14-6ACA-4F9A-87CF-6682751A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4259</Words>
  <Characters>24279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 Radojković</dc:creator>
  <cp:lastModifiedBy>Vedrana VV. Vuletic</cp:lastModifiedBy>
  <cp:revision>12</cp:revision>
  <cp:lastPrinted>2019-08-23T10:32:00Z</cp:lastPrinted>
  <dcterms:created xsi:type="dcterms:W3CDTF">2024-07-15T12:22:00Z</dcterms:created>
  <dcterms:modified xsi:type="dcterms:W3CDTF">2024-07-17T11:23:00Z</dcterms:modified>
</cp:coreProperties>
</file>